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F8448D">
        <w:tblPrEx>
          <w:tblCellMar>
            <w:top w:w="0" w:type="dxa"/>
            <w:bottom w:w="0" w:type="dxa"/>
          </w:tblCellMar>
        </w:tblPrEx>
        <w:trPr>
          <w:tblCellSpacing w:w="60" w:type="dxa"/>
        </w:trPr>
        <w:tc>
          <w:tcPr>
            <w:tcW w:w="1200" w:type="pct"/>
            <w:shd w:val="clear" w:color="auto" w:fill="E7F0F9"/>
          </w:tcPr>
          <w:p w:rsidR="00F8448D" w:rsidRDefault="00DA2C9F">
            <w:pPr>
              <w:spacing w:after="0" w:line="240" w:lineRule="auto"/>
            </w:pPr>
            <w:bookmarkStart w:id="0" w:name="_GoBack"/>
            <w:bookmarkEnd w:id="0"/>
            <w:r>
              <w:rPr>
                <w:b/>
              </w:rPr>
              <w:t>RKP broj</w:t>
            </w:r>
          </w:p>
        </w:tc>
        <w:tc>
          <w:tcPr>
            <w:tcW w:w="0" w:type="auto"/>
            <w:shd w:val="clear" w:color="auto" w:fill="E7F0F9"/>
          </w:tcPr>
          <w:p w:rsidR="00F8448D" w:rsidRDefault="00DA2C9F">
            <w:pPr>
              <w:spacing w:after="0" w:line="240" w:lineRule="auto"/>
            </w:pPr>
            <w:r>
              <w:t>24891</w:t>
            </w:r>
          </w:p>
        </w:tc>
      </w:tr>
      <w:tr w:rsidR="00F8448D">
        <w:tblPrEx>
          <w:tblCellMar>
            <w:top w:w="0" w:type="dxa"/>
            <w:bottom w:w="0" w:type="dxa"/>
          </w:tblCellMar>
        </w:tblPrEx>
        <w:trPr>
          <w:tblCellSpacing w:w="60" w:type="dxa"/>
        </w:trPr>
        <w:tc>
          <w:tcPr>
            <w:tcW w:w="1200" w:type="pct"/>
            <w:shd w:val="clear" w:color="auto" w:fill="E7F0F9"/>
          </w:tcPr>
          <w:p w:rsidR="00F8448D" w:rsidRDefault="00DA2C9F">
            <w:pPr>
              <w:spacing w:after="0" w:line="240" w:lineRule="auto"/>
            </w:pPr>
            <w:r>
              <w:rPr>
                <w:b/>
              </w:rPr>
              <w:t>Naziv obveznika</w:t>
            </w:r>
          </w:p>
        </w:tc>
        <w:tc>
          <w:tcPr>
            <w:tcW w:w="0" w:type="auto"/>
            <w:shd w:val="clear" w:color="auto" w:fill="E7F0F9"/>
          </w:tcPr>
          <w:p w:rsidR="00F8448D" w:rsidRDefault="00DA2C9F">
            <w:pPr>
              <w:spacing w:after="0" w:line="240" w:lineRule="auto"/>
            </w:pPr>
            <w:r>
              <w:t>ZAGREBAČKO KAZALIŠTE LUTAKA</w:t>
            </w:r>
          </w:p>
        </w:tc>
      </w:tr>
      <w:tr w:rsidR="00F8448D">
        <w:tblPrEx>
          <w:tblCellMar>
            <w:top w:w="0" w:type="dxa"/>
            <w:bottom w:w="0" w:type="dxa"/>
          </w:tblCellMar>
        </w:tblPrEx>
        <w:trPr>
          <w:tblCellSpacing w:w="60" w:type="dxa"/>
        </w:trPr>
        <w:tc>
          <w:tcPr>
            <w:tcW w:w="1200" w:type="pct"/>
            <w:shd w:val="clear" w:color="auto" w:fill="E7F0F9"/>
          </w:tcPr>
          <w:p w:rsidR="00F8448D" w:rsidRDefault="00DA2C9F">
            <w:pPr>
              <w:spacing w:after="0" w:line="240" w:lineRule="auto"/>
            </w:pPr>
            <w:r>
              <w:rPr>
                <w:b/>
              </w:rPr>
              <w:t>Razina</w:t>
            </w:r>
          </w:p>
        </w:tc>
        <w:tc>
          <w:tcPr>
            <w:tcW w:w="0" w:type="auto"/>
            <w:shd w:val="clear" w:color="auto" w:fill="E7F0F9"/>
          </w:tcPr>
          <w:p w:rsidR="00F8448D" w:rsidRDefault="00DA2C9F">
            <w:pPr>
              <w:spacing w:after="0" w:line="240" w:lineRule="auto"/>
            </w:pPr>
            <w:r>
              <w:t>21</w:t>
            </w:r>
          </w:p>
        </w:tc>
      </w:tr>
    </w:tbl>
    <w:p w:rsidR="00F8448D" w:rsidRDefault="00DA2C9F">
      <w:r>
        <w:br/>
      </w:r>
    </w:p>
    <w:p w:rsidR="00F8448D" w:rsidRDefault="00DA2C9F">
      <w:pPr>
        <w:spacing w:line="240" w:lineRule="auto"/>
        <w:jc w:val="center"/>
      </w:pPr>
      <w:r>
        <w:rPr>
          <w:b/>
          <w:sz w:val="28"/>
        </w:rPr>
        <w:t>BILJEŠKE UZ FINANCIJSKE IZVJEŠTAJE</w:t>
      </w:r>
    </w:p>
    <w:p w:rsidR="00F8448D" w:rsidRDefault="00DA2C9F">
      <w:pPr>
        <w:spacing w:line="240" w:lineRule="auto"/>
        <w:jc w:val="center"/>
      </w:pPr>
      <w:r>
        <w:rPr>
          <w:b/>
          <w:sz w:val="28"/>
        </w:rPr>
        <w:t>ZA RAZDOBLJE</w:t>
      </w:r>
    </w:p>
    <w:p w:rsidR="00F8448D" w:rsidRDefault="00DA2C9F">
      <w:pPr>
        <w:spacing w:line="240" w:lineRule="auto"/>
        <w:jc w:val="center"/>
      </w:pPr>
      <w:r>
        <w:rPr>
          <w:b/>
          <w:sz w:val="28"/>
        </w:rPr>
        <w:t>I - XII 2025.</w:t>
      </w:r>
    </w:p>
    <w:p w:rsidR="00F8448D" w:rsidRDefault="00F8448D"/>
    <w:p w:rsidR="00F8448D" w:rsidRDefault="00DA2C9F">
      <w:pPr>
        <w:keepNext/>
        <w:spacing w:line="240" w:lineRule="auto"/>
        <w:jc w:val="center"/>
      </w:pPr>
      <w:r>
        <w:rPr>
          <w:b/>
          <w:sz w:val="28"/>
        </w:rPr>
        <w:t>Izvještaj o prihodima i rashodima, primicima i izdacima</w:t>
      </w:r>
    </w:p>
    <w:p w:rsidR="00F8448D" w:rsidRDefault="00DA2C9F">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6</w:t>
            </w:r>
          </w:p>
        </w:tc>
        <w:tc>
          <w:tcPr>
            <w:tcW w:w="3180" w:type="dxa"/>
            <w:tcMar>
              <w:top w:w="0" w:type="dxa"/>
              <w:bottom w:w="0" w:type="dxa"/>
            </w:tcMar>
            <w:vAlign w:val="center"/>
          </w:tcPr>
          <w:p w:rsidR="00F8448D" w:rsidRDefault="00DA2C9F">
            <w:pPr>
              <w:keepNext/>
              <w:keepLines/>
              <w:spacing w:after="0" w:line="240" w:lineRule="auto"/>
            </w:pPr>
            <w:r>
              <w:rPr>
                <w:sz w:val="18"/>
              </w:rPr>
              <w:t>PRIHODI POSLOVANJA (šifre 61+62+63+64+65+66+67+68)</w:t>
            </w:r>
          </w:p>
        </w:tc>
        <w:tc>
          <w:tcPr>
            <w:tcW w:w="700" w:type="dxa"/>
            <w:tcMar>
              <w:top w:w="0" w:type="dxa"/>
              <w:bottom w:w="0" w:type="dxa"/>
            </w:tcMar>
            <w:vAlign w:val="center"/>
          </w:tcPr>
          <w:p w:rsidR="00F8448D" w:rsidRDefault="00DA2C9F">
            <w:pPr>
              <w:keepNext/>
              <w:keepLines/>
              <w:spacing w:after="0" w:line="240" w:lineRule="auto"/>
            </w:pPr>
            <w:r>
              <w:rPr>
                <w:sz w:val="18"/>
              </w:rPr>
              <w:t>6</w:t>
            </w:r>
          </w:p>
        </w:tc>
        <w:tc>
          <w:tcPr>
            <w:tcW w:w="1860" w:type="dxa"/>
            <w:tcMar>
              <w:top w:w="0" w:type="dxa"/>
              <w:bottom w:w="0" w:type="dxa"/>
            </w:tcMar>
            <w:vAlign w:val="center"/>
          </w:tcPr>
          <w:p w:rsidR="00F8448D" w:rsidRDefault="00DA2C9F">
            <w:pPr>
              <w:keepNext/>
              <w:keepLines/>
              <w:spacing w:after="0" w:line="240" w:lineRule="auto"/>
              <w:jc w:val="right"/>
            </w:pPr>
            <w:r>
              <w:rPr>
                <w:sz w:val="18"/>
              </w:rPr>
              <w:t>2.856.092,35</w:t>
            </w:r>
          </w:p>
        </w:tc>
        <w:tc>
          <w:tcPr>
            <w:tcW w:w="1860" w:type="dxa"/>
            <w:tcMar>
              <w:top w:w="0" w:type="dxa"/>
              <w:bottom w:w="0" w:type="dxa"/>
            </w:tcMar>
            <w:vAlign w:val="center"/>
          </w:tcPr>
          <w:p w:rsidR="00F8448D" w:rsidRDefault="00DA2C9F">
            <w:pPr>
              <w:keepNext/>
              <w:keepLines/>
              <w:spacing w:after="0" w:line="240" w:lineRule="auto"/>
              <w:jc w:val="right"/>
            </w:pPr>
            <w:r>
              <w:rPr>
                <w:sz w:val="18"/>
              </w:rPr>
              <w:t>3.391.856,76</w:t>
            </w:r>
          </w:p>
        </w:tc>
        <w:tc>
          <w:tcPr>
            <w:tcW w:w="700" w:type="dxa"/>
            <w:tcMar>
              <w:top w:w="0" w:type="dxa"/>
              <w:bottom w:w="0" w:type="dxa"/>
            </w:tcMar>
            <w:vAlign w:val="center"/>
          </w:tcPr>
          <w:p w:rsidR="00F8448D" w:rsidRDefault="00DA2C9F">
            <w:pPr>
              <w:keepNext/>
              <w:keepLines/>
              <w:spacing w:after="0" w:line="240" w:lineRule="auto"/>
              <w:jc w:val="right"/>
            </w:pPr>
            <w:r>
              <w:rPr>
                <w:sz w:val="18"/>
              </w:rPr>
              <w:t>118,8</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w:t>
            </w:r>
          </w:p>
        </w:tc>
        <w:tc>
          <w:tcPr>
            <w:tcW w:w="3180" w:type="dxa"/>
            <w:tcMar>
              <w:top w:w="0" w:type="dxa"/>
              <w:bottom w:w="0" w:type="dxa"/>
            </w:tcMar>
            <w:vAlign w:val="center"/>
          </w:tcPr>
          <w:p w:rsidR="00F8448D" w:rsidRDefault="00DA2C9F">
            <w:pPr>
              <w:keepNext/>
              <w:keepLines/>
              <w:spacing w:after="0" w:line="240" w:lineRule="auto"/>
            </w:pPr>
            <w:r>
              <w:rPr>
                <w:sz w:val="18"/>
              </w:rPr>
              <w:t>RASHODI POSLOVANJA (šifre 31+32+34+35+36+37+38)</w:t>
            </w:r>
          </w:p>
        </w:tc>
        <w:tc>
          <w:tcPr>
            <w:tcW w:w="700" w:type="dxa"/>
            <w:tcMar>
              <w:top w:w="0" w:type="dxa"/>
              <w:bottom w:w="0" w:type="dxa"/>
            </w:tcMar>
            <w:vAlign w:val="center"/>
          </w:tcPr>
          <w:p w:rsidR="00F8448D" w:rsidRDefault="00DA2C9F">
            <w:pPr>
              <w:keepNext/>
              <w:keepLines/>
              <w:spacing w:after="0" w:line="240" w:lineRule="auto"/>
            </w:pPr>
            <w:r>
              <w:rPr>
                <w:sz w:val="18"/>
              </w:rPr>
              <w:t>3</w:t>
            </w:r>
          </w:p>
        </w:tc>
        <w:tc>
          <w:tcPr>
            <w:tcW w:w="1860" w:type="dxa"/>
            <w:tcMar>
              <w:top w:w="0" w:type="dxa"/>
              <w:bottom w:w="0" w:type="dxa"/>
            </w:tcMar>
            <w:vAlign w:val="center"/>
          </w:tcPr>
          <w:p w:rsidR="00F8448D" w:rsidRDefault="00DA2C9F">
            <w:pPr>
              <w:keepNext/>
              <w:keepLines/>
              <w:spacing w:after="0" w:line="240" w:lineRule="auto"/>
              <w:jc w:val="right"/>
            </w:pPr>
            <w:r>
              <w:rPr>
                <w:sz w:val="18"/>
              </w:rPr>
              <w:t>2.804.448,12</w:t>
            </w:r>
          </w:p>
        </w:tc>
        <w:tc>
          <w:tcPr>
            <w:tcW w:w="1860" w:type="dxa"/>
            <w:tcMar>
              <w:top w:w="0" w:type="dxa"/>
              <w:bottom w:w="0" w:type="dxa"/>
            </w:tcMar>
            <w:vAlign w:val="center"/>
          </w:tcPr>
          <w:p w:rsidR="00F8448D" w:rsidRDefault="00DA2C9F">
            <w:pPr>
              <w:keepNext/>
              <w:keepLines/>
              <w:spacing w:after="0" w:line="240" w:lineRule="auto"/>
              <w:jc w:val="right"/>
            </w:pPr>
            <w:r>
              <w:rPr>
                <w:sz w:val="18"/>
              </w:rPr>
              <w:t>3.314.705,81</w:t>
            </w:r>
          </w:p>
        </w:tc>
        <w:tc>
          <w:tcPr>
            <w:tcW w:w="700" w:type="dxa"/>
            <w:tcMar>
              <w:top w:w="0" w:type="dxa"/>
              <w:bottom w:w="0" w:type="dxa"/>
            </w:tcMar>
            <w:vAlign w:val="center"/>
          </w:tcPr>
          <w:p w:rsidR="00F8448D" w:rsidRDefault="00DA2C9F">
            <w:pPr>
              <w:keepNext/>
              <w:keepLines/>
              <w:spacing w:after="0" w:line="240" w:lineRule="auto"/>
              <w:jc w:val="right"/>
            </w:pPr>
            <w:r>
              <w:rPr>
                <w:sz w:val="18"/>
              </w:rPr>
              <w:t>118,2</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b/>
                <w:sz w:val="18"/>
              </w:rPr>
              <w:t>VIŠAK PRIHODA POSLOVANJA (šifre 6-Z005)</w:t>
            </w:r>
          </w:p>
        </w:tc>
        <w:tc>
          <w:tcPr>
            <w:tcW w:w="700" w:type="dxa"/>
            <w:tcMar>
              <w:top w:w="0" w:type="dxa"/>
              <w:bottom w:w="0" w:type="dxa"/>
            </w:tcMar>
            <w:vAlign w:val="center"/>
          </w:tcPr>
          <w:p w:rsidR="00F8448D" w:rsidRDefault="00DA2C9F">
            <w:pPr>
              <w:keepNext/>
              <w:keepLines/>
              <w:spacing w:after="0" w:line="240" w:lineRule="auto"/>
            </w:pPr>
            <w:r>
              <w:rPr>
                <w:b/>
                <w:sz w:val="18"/>
              </w:rPr>
              <w:t>X001</w:t>
            </w:r>
          </w:p>
        </w:tc>
        <w:tc>
          <w:tcPr>
            <w:tcW w:w="1860" w:type="dxa"/>
            <w:tcMar>
              <w:top w:w="0" w:type="dxa"/>
              <w:bottom w:w="0" w:type="dxa"/>
            </w:tcMar>
            <w:vAlign w:val="center"/>
          </w:tcPr>
          <w:p w:rsidR="00F8448D" w:rsidRDefault="00DA2C9F">
            <w:pPr>
              <w:keepNext/>
              <w:keepLines/>
              <w:spacing w:after="0" w:line="240" w:lineRule="auto"/>
              <w:jc w:val="right"/>
            </w:pPr>
            <w:r>
              <w:rPr>
                <w:b/>
                <w:sz w:val="18"/>
              </w:rPr>
              <w:t>51.644,23</w:t>
            </w:r>
          </w:p>
        </w:tc>
        <w:tc>
          <w:tcPr>
            <w:tcW w:w="1860" w:type="dxa"/>
            <w:tcMar>
              <w:top w:w="0" w:type="dxa"/>
              <w:bottom w:w="0" w:type="dxa"/>
            </w:tcMar>
            <w:vAlign w:val="center"/>
          </w:tcPr>
          <w:p w:rsidR="00F8448D" w:rsidRDefault="00DA2C9F">
            <w:pPr>
              <w:keepNext/>
              <w:keepLines/>
              <w:spacing w:after="0" w:line="240" w:lineRule="auto"/>
              <w:jc w:val="right"/>
            </w:pPr>
            <w:r>
              <w:rPr>
                <w:b/>
                <w:sz w:val="18"/>
              </w:rPr>
              <w:t>77.150,95</w:t>
            </w:r>
          </w:p>
        </w:tc>
        <w:tc>
          <w:tcPr>
            <w:tcW w:w="700" w:type="dxa"/>
            <w:tcMar>
              <w:top w:w="0" w:type="dxa"/>
              <w:bottom w:w="0" w:type="dxa"/>
            </w:tcMar>
            <w:vAlign w:val="center"/>
          </w:tcPr>
          <w:p w:rsidR="00F8448D" w:rsidRDefault="00DA2C9F">
            <w:pPr>
              <w:keepNext/>
              <w:keepLines/>
              <w:spacing w:after="0" w:line="240" w:lineRule="auto"/>
              <w:jc w:val="right"/>
            </w:pPr>
            <w:r>
              <w:rPr>
                <w:b/>
                <w:sz w:val="18"/>
              </w:rPr>
              <w:t>149,4</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7</w:t>
            </w:r>
          </w:p>
        </w:tc>
        <w:tc>
          <w:tcPr>
            <w:tcW w:w="3180" w:type="dxa"/>
            <w:tcMar>
              <w:top w:w="0" w:type="dxa"/>
              <w:bottom w:w="0" w:type="dxa"/>
            </w:tcMar>
            <w:vAlign w:val="center"/>
          </w:tcPr>
          <w:p w:rsidR="00F8448D" w:rsidRDefault="00DA2C9F">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F8448D" w:rsidRDefault="00DA2C9F">
            <w:pPr>
              <w:keepNext/>
              <w:keepLines/>
              <w:spacing w:after="0" w:line="240" w:lineRule="auto"/>
            </w:pPr>
            <w:r>
              <w:rPr>
                <w:sz w:val="18"/>
              </w:rPr>
              <w:t>7</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4</w:t>
            </w:r>
          </w:p>
        </w:tc>
        <w:tc>
          <w:tcPr>
            <w:tcW w:w="3180" w:type="dxa"/>
            <w:tcMar>
              <w:top w:w="0" w:type="dxa"/>
              <w:bottom w:w="0" w:type="dxa"/>
            </w:tcMar>
            <w:vAlign w:val="center"/>
          </w:tcPr>
          <w:p w:rsidR="00F8448D" w:rsidRDefault="00DA2C9F">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F8448D" w:rsidRDefault="00DA2C9F">
            <w:pPr>
              <w:keepNext/>
              <w:keepLines/>
              <w:spacing w:after="0" w:line="240" w:lineRule="auto"/>
            </w:pPr>
            <w:r>
              <w:rPr>
                <w:sz w:val="18"/>
              </w:rPr>
              <w:t>4</w:t>
            </w:r>
          </w:p>
        </w:tc>
        <w:tc>
          <w:tcPr>
            <w:tcW w:w="1860" w:type="dxa"/>
            <w:tcMar>
              <w:top w:w="0" w:type="dxa"/>
              <w:bottom w:w="0" w:type="dxa"/>
            </w:tcMar>
            <w:vAlign w:val="center"/>
          </w:tcPr>
          <w:p w:rsidR="00F8448D" w:rsidRDefault="00DA2C9F">
            <w:pPr>
              <w:keepNext/>
              <w:keepLines/>
              <w:spacing w:after="0" w:line="240" w:lineRule="auto"/>
              <w:jc w:val="right"/>
            </w:pPr>
            <w:r>
              <w:rPr>
                <w:sz w:val="18"/>
              </w:rPr>
              <w:t>13.917,54</w:t>
            </w:r>
          </w:p>
        </w:tc>
        <w:tc>
          <w:tcPr>
            <w:tcW w:w="1860" w:type="dxa"/>
            <w:tcMar>
              <w:top w:w="0" w:type="dxa"/>
              <w:bottom w:w="0" w:type="dxa"/>
            </w:tcMar>
            <w:vAlign w:val="center"/>
          </w:tcPr>
          <w:p w:rsidR="00F8448D" w:rsidRDefault="00DA2C9F">
            <w:pPr>
              <w:keepNext/>
              <w:keepLines/>
              <w:spacing w:after="0" w:line="240" w:lineRule="auto"/>
              <w:jc w:val="right"/>
            </w:pPr>
            <w:r>
              <w:rPr>
                <w:sz w:val="18"/>
              </w:rPr>
              <w:t>26.380,82</w:t>
            </w:r>
          </w:p>
        </w:tc>
        <w:tc>
          <w:tcPr>
            <w:tcW w:w="700" w:type="dxa"/>
            <w:tcMar>
              <w:top w:w="0" w:type="dxa"/>
              <w:bottom w:w="0" w:type="dxa"/>
            </w:tcMar>
            <w:vAlign w:val="center"/>
          </w:tcPr>
          <w:p w:rsidR="00F8448D" w:rsidRDefault="00DA2C9F">
            <w:pPr>
              <w:keepNext/>
              <w:keepLines/>
              <w:spacing w:after="0" w:line="240" w:lineRule="auto"/>
              <w:jc w:val="right"/>
            </w:pPr>
            <w:r>
              <w:rPr>
                <w:sz w:val="18"/>
              </w:rPr>
              <w:t>189,6</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F8448D" w:rsidRDefault="00DA2C9F">
            <w:pPr>
              <w:keepNext/>
              <w:keepLines/>
              <w:spacing w:after="0" w:line="240" w:lineRule="auto"/>
            </w:pPr>
            <w:r>
              <w:rPr>
                <w:b/>
                <w:sz w:val="18"/>
              </w:rPr>
              <w:t>Y002</w:t>
            </w:r>
          </w:p>
        </w:tc>
        <w:tc>
          <w:tcPr>
            <w:tcW w:w="1860" w:type="dxa"/>
            <w:tcMar>
              <w:top w:w="0" w:type="dxa"/>
              <w:bottom w:w="0" w:type="dxa"/>
            </w:tcMar>
            <w:vAlign w:val="center"/>
          </w:tcPr>
          <w:p w:rsidR="00F8448D" w:rsidRDefault="00DA2C9F">
            <w:pPr>
              <w:keepNext/>
              <w:keepLines/>
              <w:spacing w:after="0" w:line="240" w:lineRule="auto"/>
              <w:jc w:val="right"/>
            </w:pPr>
            <w:r>
              <w:rPr>
                <w:b/>
                <w:sz w:val="18"/>
              </w:rPr>
              <w:t>13.917,54</w:t>
            </w:r>
          </w:p>
        </w:tc>
        <w:tc>
          <w:tcPr>
            <w:tcW w:w="1860" w:type="dxa"/>
            <w:tcMar>
              <w:top w:w="0" w:type="dxa"/>
              <w:bottom w:w="0" w:type="dxa"/>
            </w:tcMar>
            <w:vAlign w:val="center"/>
          </w:tcPr>
          <w:p w:rsidR="00F8448D" w:rsidRDefault="00DA2C9F">
            <w:pPr>
              <w:keepNext/>
              <w:keepLines/>
              <w:spacing w:after="0" w:line="240" w:lineRule="auto"/>
              <w:jc w:val="right"/>
            </w:pPr>
            <w:r>
              <w:rPr>
                <w:b/>
                <w:sz w:val="18"/>
              </w:rPr>
              <w:t>26.380,82</w:t>
            </w:r>
          </w:p>
        </w:tc>
        <w:tc>
          <w:tcPr>
            <w:tcW w:w="700" w:type="dxa"/>
            <w:tcMar>
              <w:top w:w="0" w:type="dxa"/>
              <w:bottom w:w="0" w:type="dxa"/>
            </w:tcMar>
            <w:vAlign w:val="center"/>
          </w:tcPr>
          <w:p w:rsidR="00F8448D" w:rsidRDefault="00DA2C9F">
            <w:pPr>
              <w:keepNext/>
              <w:keepLines/>
              <w:spacing w:after="0" w:line="240" w:lineRule="auto"/>
              <w:jc w:val="right"/>
            </w:pPr>
            <w:r>
              <w:rPr>
                <w:b/>
                <w:sz w:val="18"/>
              </w:rPr>
              <w:t>189,6</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8</w:t>
            </w:r>
          </w:p>
        </w:tc>
        <w:tc>
          <w:tcPr>
            <w:tcW w:w="3180" w:type="dxa"/>
            <w:tcMar>
              <w:top w:w="0" w:type="dxa"/>
              <w:bottom w:w="0" w:type="dxa"/>
            </w:tcMar>
            <w:vAlign w:val="center"/>
          </w:tcPr>
          <w:p w:rsidR="00F8448D" w:rsidRDefault="00DA2C9F">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F8448D" w:rsidRDefault="00DA2C9F">
            <w:pPr>
              <w:keepNext/>
              <w:keepLines/>
              <w:spacing w:after="0" w:line="240" w:lineRule="auto"/>
            </w:pPr>
            <w:r>
              <w:rPr>
                <w:sz w:val="18"/>
              </w:rPr>
              <w:t>8</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5</w:t>
            </w:r>
          </w:p>
        </w:tc>
        <w:tc>
          <w:tcPr>
            <w:tcW w:w="3180" w:type="dxa"/>
            <w:tcMar>
              <w:top w:w="0" w:type="dxa"/>
              <w:bottom w:w="0" w:type="dxa"/>
            </w:tcMar>
            <w:vAlign w:val="center"/>
          </w:tcPr>
          <w:p w:rsidR="00F8448D" w:rsidRDefault="00DA2C9F">
            <w:pPr>
              <w:keepNext/>
              <w:keepLines/>
              <w:spacing w:after="0" w:line="240" w:lineRule="auto"/>
            </w:pPr>
            <w:r>
              <w:rPr>
                <w:sz w:val="18"/>
              </w:rPr>
              <w:t xml:space="preserve">Izdaci za financijsku imovinu i otplate zajmova (šifre </w:t>
            </w:r>
            <w:r>
              <w:rPr>
                <w:sz w:val="18"/>
              </w:rPr>
              <w:t>51+52+53+54+55)</w:t>
            </w:r>
          </w:p>
        </w:tc>
        <w:tc>
          <w:tcPr>
            <w:tcW w:w="700" w:type="dxa"/>
            <w:tcMar>
              <w:top w:w="0" w:type="dxa"/>
              <w:bottom w:w="0" w:type="dxa"/>
            </w:tcMar>
            <w:vAlign w:val="center"/>
          </w:tcPr>
          <w:p w:rsidR="00F8448D" w:rsidRDefault="00DA2C9F">
            <w:pPr>
              <w:keepNext/>
              <w:keepLines/>
              <w:spacing w:after="0" w:line="240" w:lineRule="auto"/>
            </w:pPr>
            <w:r>
              <w:rPr>
                <w:sz w:val="18"/>
              </w:rPr>
              <w:t>5</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F8448D" w:rsidRDefault="00DA2C9F">
            <w:pPr>
              <w:keepNext/>
              <w:keepLines/>
              <w:spacing w:after="0" w:line="240" w:lineRule="auto"/>
            </w:pPr>
            <w:r>
              <w:rPr>
                <w:b/>
                <w:sz w:val="18"/>
              </w:rPr>
              <w:t>X003, Y003</w:t>
            </w:r>
          </w:p>
        </w:tc>
        <w:tc>
          <w:tcPr>
            <w:tcW w:w="1860" w:type="dxa"/>
            <w:tcMar>
              <w:top w:w="0" w:type="dxa"/>
              <w:bottom w:w="0" w:type="dxa"/>
            </w:tcMar>
            <w:vAlign w:val="center"/>
          </w:tcPr>
          <w:p w:rsidR="00F8448D" w:rsidRDefault="00DA2C9F">
            <w:pPr>
              <w:keepNext/>
              <w:keepLines/>
              <w:spacing w:after="0" w:line="240" w:lineRule="auto"/>
              <w:jc w:val="right"/>
            </w:pPr>
            <w:r>
              <w:rPr>
                <w:b/>
                <w:sz w:val="18"/>
              </w:rPr>
              <w:t>0,00</w:t>
            </w:r>
          </w:p>
        </w:tc>
        <w:tc>
          <w:tcPr>
            <w:tcW w:w="1860" w:type="dxa"/>
            <w:tcMar>
              <w:top w:w="0" w:type="dxa"/>
              <w:bottom w:w="0" w:type="dxa"/>
            </w:tcMar>
            <w:vAlign w:val="center"/>
          </w:tcPr>
          <w:p w:rsidR="00F8448D" w:rsidRDefault="00DA2C9F">
            <w:pPr>
              <w:keepNext/>
              <w:keepLines/>
              <w:spacing w:after="0" w:line="240" w:lineRule="auto"/>
              <w:jc w:val="right"/>
            </w:pPr>
            <w:r>
              <w:rPr>
                <w:b/>
                <w:sz w:val="18"/>
              </w:rPr>
              <w:t>0,00</w:t>
            </w:r>
          </w:p>
        </w:tc>
        <w:tc>
          <w:tcPr>
            <w:tcW w:w="700" w:type="dxa"/>
            <w:tcMar>
              <w:top w:w="0" w:type="dxa"/>
              <w:bottom w:w="0" w:type="dxa"/>
            </w:tcMar>
            <w:vAlign w:val="center"/>
          </w:tcPr>
          <w:p w:rsidR="00F8448D" w:rsidRDefault="00DA2C9F">
            <w:pPr>
              <w:keepNext/>
              <w:keepLines/>
              <w:spacing w:after="0" w:line="240" w:lineRule="auto"/>
              <w:jc w:val="right"/>
            </w:pPr>
            <w:r>
              <w:rPr>
                <w:b/>
                <w:sz w:val="18"/>
              </w:rPr>
              <w:t>-</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b/>
                <w:sz w:val="18"/>
              </w:rPr>
              <w:t>VIŠAK PRIHODA I PRIMITAKA (šifre X678-Y345)</w:t>
            </w:r>
          </w:p>
        </w:tc>
        <w:tc>
          <w:tcPr>
            <w:tcW w:w="700" w:type="dxa"/>
            <w:tcMar>
              <w:top w:w="0" w:type="dxa"/>
              <w:bottom w:w="0" w:type="dxa"/>
            </w:tcMar>
            <w:vAlign w:val="center"/>
          </w:tcPr>
          <w:p w:rsidR="00F8448D" w:rsidRDefault="00DA2C9F">
            <w:pPr>
              <w:keepNext/>
              <w:keepLines/>
              <w:spacing w:after="0" w:line="240" w:lineRule="auto"/>
            </w:pPr>
            <w:r>
              <w:rPr>
                <w:b/>
                <w:sz w:val="18"/>
              </w:rPr>
              <w:t>X005</w:t>
            </w:r>
          </w:p>
        </w:tc>
        <w:tc>
          <w:tcPr>
            <w:tcW w:w="1860" w:type="dxa"/>
            <w:tcMar>
              <w:top w:w="0" w:type="dxa"/>
              <w:bottom w:w="0" w:type="dxa"/>
            </w:tcMar>
            <w:vAlign w:val="center"/>
          </w:tcPr>
          <w:p w:rsidR="00F8448D" w:rsidRDefault="00DA2C9F">
            <w:pPr>
              <w:keepNext/>
              <w:keepLines/>
              <w:spacing w:after="0" w:line="240" w:lineRule="auto"/>
              <w:jc w:val="right"/>
            </w:pPr>
            <w:r>
              <w:rPr>
                <w:b/>
                <w:sz w:val="18"/>
              </w:rPr>
              <w:t>37.726,69</w:t>
            </w:r>
          </w:p>
        </w:tc>
        <w:tc>
          <w:tcPr>
            <w:tcW w:w="1860" w:type="dxa"/>
            <w:tcMar>
              <w:top w:w="0" w:type="dxa"/>
              <w:bottom w:w="0" w:type="dxa"/>
            </w:tcMar>
            <w:vAlign w:val="center"/>
          </w:tcPr>
          <w:p w:rsidR="00F8448D" w:rsidRDefault="00DA2C9F">
            <w:pPr>
              <w:keepNext/>
              <w:keepLines/>
              <w:spacing w:after="0" w:line="240" w:lineRule="auto"/>
              <w:jc w:val="right"/>
            </w:pPr>
            <w:r>
              <w:rPr>
                <w:b/>
                <w:sz w:val="18"/>
              </w:rPr>
              <w:t>50.770,13</w:t>
            </w:r>
          </w:p>
        </w:tc>
        <w:tc>
          <w:tcPr>
            <w:tcW w:w="700" w:type="dxa"/>
            <w:tcMar>
              <w:top w:w="0" w:type="dxa"/>
              <w:bottom w:w="0" w:type="dxa"/>
            </w:tcMar>
            <w:vAlign w:val="center"/>
          </w:tcPr>
          <w:p w:rsidR="00F8448D" w:rsidRDefault="00DA2C9F">
            <w:pPr>
              <w:keepNext/>
              <w:keepLines/>
              <w:spacing w:after="0" w:line="240" w:lineRule="auto"/>
              <w:jc w:val="right"/>
            </w:pPr>
            <w:r>
              <w:rPr>
                <w:b/>
                <w:sz w:val="18"/>
              </w:rPr>
              <w:t>134,6</w:t>
            </w:r>
          </w:p>
        </w:tc>
      </w:tr>
    </w:tbl>
    <w:p w:rsidR="00F8448D" w:rsidRDefault="00F8448D">
      <w:pPr>
        <w:spacing w:after="0"/>
      </w:pPr>
    </w:p>
    <w:p w:rsidR="00F8448D" w:rsidRDefault="00DA2C9F">
      <w:r>
        <w:t>Zagrebačko kazalište lutaka, Trg kralja Tomislava 19 Zagreb (u daljnjem tekstu ZKL) osnovano je od strane Skupštine Grada Zagreba. Poslove izvršava prema ustrojstvu za kazalište, a pri vođenju poslovnih knjiga primjenjuje se sustav proračunskog računovodst</w:t>
      </w:r>
      <w:r>
        <w:t>va.</w:t>
      </w:r>
    </w:p>
    <w:p w:rsidR="00F8448D" w:rsidRDefault="00DA2C9F">
      <w:r>
        <w:t>U razdoblju siječanj – prosinac 2025. godine, Zagrebačko kazalište lutaka ostvarilo je prihod u ukupnom iznosu od 3.391.856,76 EUR i rashode u ukupnom iznosu od 3.341.086,63 EUR.</w:t>
      </w:r>
    </w:p>
    <w:p w:rsidR="00F8448D" w:rsidRDefault="00DA2C9F">
      <w:r>
        <w:t>U 2025. godini nije bilo podataka za popunjavanje obrasca P – VRIO.</w:t>
      </w:r>
    </w:p>
    <w:p w:rsidR="00F8448D" w:rsidRDefault="00DA2C9F">
      <w:r>
        <w:lastRenderedPageBreak/>
        <w:br/>
      </w:r>
    </w:p>
    <w:p w:rsidR="00F8448D" w:rsidRDefault="00DA2C9F">
      <w:pPr>
        <w:keepNext/>
        <w:spacing w:line="240" w:lineRule="auto"/>
        <w:jc w:val="center"/>
      </w:pPr>
      <w:r>
        <w:rPr>
          <w:sz w:val="28"/>
        </w:rPr>
        <w:t>Bil</w:t>
      </w:r>
      <w:r>
        <w:rPr>
          <w:sz w:val="28"/>
        </w:rPr>
        <w:t>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6526</w:t>
            </w:r>
          </w:p>
        </w:tc>
        <w:tc>
          <w:tcPr>
            <w:tcW w:w="3180" w:type="dxa"/>
            <w:tcMar>
              <w:top w:w="0" w:type="dxa"/>
              <w:bottom w:w="0" w:type="dxa"/>
            </w:tcMar>
            <w:vAlign w:val="center"/>
          </w:tcPr>
          <w:p w:rsidR="00F8448D" w:rsidRDefault="00DA2C9F">
            <w:pPr>
              <w:keepNext/>
              <w:keepLines/>
              <w:spacing w:after="0" w:line="240" w:lineRule="auto"/>
            </w:pPr>
            <w:r>
              <w:rPr>
                <w:sz w:val="18"/>
              </w:rPr>
              <w:t>Ostali nespomenuti prihodi</w:t>
            </w:r>
          </w:p>
        </w:tc>
        <w:tc>
          <w:tcPr>
            <w:tcW w:w="700" w:type="dxa"/>
            <w:tcMar>
              <w:top w:w="0" w:type="dxa"/>
              <w:bottom w:w="0" w:type="dxa"/>
            </w:tcMar>
            <w:vAlign w:val="center"/>
          </w:tcPr>
          <w:p w:rsidR="00F8448D" w:rsidRDefault="00DA2C9F">
            <w:pPr>
              <w:keepNext/>
              <w:keepLines/>
              <w:spacing w:after="0" w:line="240" w:lineRule="auto"/>
            </w:pPr>
            <w:r>
              <w:rPr>
                <w:sz w:val="18"/>
              </w:rPr>
              <w:t>6526</w:t>
            </w:r>
          </w:p>
        </w:tc>
        <w:tc>
          <w:tcPr>
            <w:tcW w:w="1860" w:type="dxa"/>
            <w:tcMar>
              <w:top w:w="0" w:type="dxa"/>
              <w:bottom w:w="0" w:type="dxa"/>
            </w:tcMar>
            <w:vAlign w:val="center"/>
          </w:tcPr>
          <w:p w:rsidR="00F8448D" w:rsidRDefault="00DA2C9F">
            <w:pPr>
              <w:keepNext/>
              <w:keepLines/>
              <w:spacing w:after="0" w:line="240" w:lineRule="auto"/>
              <w:jc w:val="right"/>
            </w:pPr>
            <w:r>
              <w:rPr>
                <w:sz w:val="18"/>
              </w:rPr>
              <w:t>336.010,56</w:t>
            </w:r>
          </w:p>
        </w:tc>
        <w:tc>
          <w:tcPr>
            <w:tcW w:w="1860" w:type="dxa"/>
            <w:tcMar>
              <w:top w:w="0" w:type="dxa"/>
              <w:bottom w:w="0" w:type="dxa"/>
            </w:tcMar>
            <w:vAlign w:val="center"/>
          </w:tcPr>
          <w:p w:rsidR="00F8448D" w:rsidRDefault="00DA2C9F">
            <w:pPr>
              <w:keepNext/>
              <w:keepLines/>
              <w:spacing w:after="0" w:line="240" w:lineRule="auto"/>
              <w:jc w:val="right"/>
            </w:pPr>
            <w:r>
              <w:rPr>
                <w:sz w:val="18"/>
              </w:rPr>
              <w:t>340.069,10</w:t>
            </w:r>
          </w:p>
        </w:tc>
        <w:tc>
          <w:tcPr>
            <w:tcW w:w="700" w:type="dxa"/>
            <w:tcMar>
              <w:top w:w="0" w:type="dxa"/>
              <w:bottom w:w="0" w:type="dxa"/>
            </w:tcMar>
            <w:vAlign w:val="center"/>
          </w:tcPr>
          <w:p w:rsidR="00F8448D" w:rsidRDefault="00DA2C9F">
            <w:pPr>
              <w:keepNext/>
              <w:keepLines/>
              <w:spacing w:after="0" w:line="240" w:lineRule="auto"/>
              <w:jc w:val="right"/>
            </w:pPr>
            <w:r>
              <w:rPr>
                <w:sz w:val="18"/>
              </w:rPr>
              <w:t>101,2</w:t>
            </w:r>
          </w:p>
        </w:tc>
      </w:tr>
    </w:tbl>
    <w:p w:rsidR="00F8448D" w:rsidRDefault="00F8448D">
      <w:pPr>
        <w:spacing w:after="0"/>
      </w:pPr>
    </w:p>
    <w:p w:rsidR="00F8448D" w:rsidRDefault="00DA2C9F">
      <w:r>
        <w:t>Pod šifrom 6526 evidentirani su prihodi od sufinanciranja ulaznica i gostovanja, te prihodi s osnova osiguranja u ukupnom iznosu od 340.069,10 eura. Povećanje u odnosu na prethodnu godinu je 1,2 %.</w:t>
      </w:r>
    </w:p>
    <w:p w:rsidR="00F8448D" w:rsidRDefault="00F8448D"/>
    <w:p w:rsidR="00F8448D" w:rsidRDefault="00DA2C9F">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6615</w:t>
            </w:r>
          </w:p>
        </w:tc>
        <w:tc>
          <w:tcPr>
            <w:tcW w:w="3180" w:type="dxa"/>
            <w:tcMar>
              <w:top w:w="0" w:type="dxa"/>
              <w:bottom w:w="0" w:type="dxa"/>
            </w:tcMar>
            <w:vAlign w:val="center"/>
          </w:tcPr>
          <w:p w:rsidR="00F8448D" w:rsidRDefault="00DA2C9F">
            <w:pPr>
              <w:keepNext/>
              <w:keepLines/>
              <w:spacing w:after="0" w:line="240" w:lineRule="auto"/>
            </w:pPr>
            <w:r>
              <w:rPr>
                <w:sz w:val="18"/>
              </w:rPr>
              <w:t>Prihodi od pruženih usluga</w:t>
            </w:r>
          </w:p>
        </w:tc>
        <w:tc>
          <w:tcPr>
            <w:tcW w:w="700" w:type="dxa"/>
            <w:tcMar>
              <w:top w:w="0" w:type="dxa"/>
              <w:bottom w:w="0" w:type="dxa"/>
            </w:tcMar>
            <w:vAlign w:val="center"/>
          </w:tcPr>
          <w:p w:rsidR="00F8448D" w:rsidRDefault="00DA2C9F">
            <w:pPr>
              <w:keepNext/>
              <w:keepLines/>
              <w:spacing w:after="0" w:line="240" w:lineRule="auto"/>
            </w:pPr>
            <w:r>
              <w:rPr>
                <w:sz w:val="18"/>
              </w:rPr>
              <w:t>6615</w:t>
            </w:r>
          </w:p>
        </w:tc>
        <w:tc>
          <w:tcPr>
            <w:tcW w:w="1860" w:type="dxa"/>
            <w:tcMar>
              <w:top w:w="0" w:type="dxa"/>
              <w:bottom w:w="0" w:type="dxa"/>
            </w:tcMar>
            <w:vAlign w:val="center"/>
          </w:tcPr>
          <w:p w:rsidR="00F8448D" w:rsidRDefault="00DA2C9F">
            <w:pPr>
              <w:keepNext/>
              <w:keepLines/>
              <w:spacing w:after="0" w:line="240" w:lineRule="auto"/>
              <w:jc w:val="right"/>
            </w:pPr>
            <w:r>
              <w:rPr>
                <w:sz w:val="18"/>
              </w:rPr>
              <w:t>32.723,00</w:t>
            </w:r>
          </w:p>
        </w:tc>
        <w:tc>
          <w:tcPr>
            <w:tcW w:w="1860" w:type="dxa"/>
            <w:tcMar>
              <w:top w:w="0" w:type="dxa"/>
              <w:bottom w:w="0" w:type="dxa"/>
            </w:tcMar>
            <w:vAlign w:val="center"/>
          </w:tcPr>
          <w:p w:rsidR="00F8448D" w:rsidRDefault="00DA2C9F">
            <w:pPr>
              <w:keepNext/>
              <w:keepLines/>
              <w:spacing w:after="0" w:line="240" w:lineRule="auto"/>
              <w:jc w:val="right"/>
            </w:pPr>
            <w:r>
              <w:rPr>
                <w:sz w:val="18"/>
              </w:rPr>
              <w:t>18.817,50</w:t>
            </w:r>
          </w:p>
        </w:tc>
        <w:tc>
          <w:tcPr>
            <w:tcW w:w="700" w:type="dxa"/>
            <w:tcMar>
              <w:top w:w="0" w:type="dxa"/>
              <w:bottom w:w="0" w:type="dxa"/>
            </w:tcMar>
            <w:vAlign w:val="center"/>
          </w:tcPr>
          <w:p w:rsidR="00F8448D" w:rsidRDefault="00DA2C9F">
            <w:pPr>
              <w:keepNext/>
              <w:keepLines/>
              <w:spacing w:after="0" w:line="240" w:lineRule="auto"/>
              <w:jc w:val="right"/>
            </w:pPr>
            <w:r>
              <w:rPr>
                <w:sz w:val="18"/>
              </w:rPr>
              <w:t>57,5</w:t>
            </w:r>
          </w:p>
        </w:tc>
      </w:tr>
    </w:tbl>
    <w:p w:rsidR="00F8448D" w:rsidRDefault="00F8448D">
      <w:pPr>
        <w:spacing w:after="0"/>
      </w:pPr>
    </w:p>
    <w:p w:rsidR="00F8448D" w:rsidRDefault="00DA2C9F">
      <w:r>
        <w:t>Šifra 6615 pokazuje prihode u iznosu od 18.817,50 EUR ostvarene od korištenja prostora za vanjske programe i prihod od radionica. Smanjenje od 42,5 % je zbog prihoda od donacija 2024. godine, a kojeg nije bilo u 2025. godini.</w:t>
      </w:r>
    </w:p>
    <w:p w:rsidR="00F8448D" w:rsidRDefault="00F8448D"/>
    <w:p w:rsidR="00F8448D" w:rsidRDefault="00DA2C9F">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w:t>
            </w:r>
            <w:r>
              <w:rPr>
                <w:b/>
                <w:sz w:val="18"/>
              </w:rPr>
              <w:t>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6711</w:t>
            </w:r>
          </w:p>
        </w:tc>
        <w:tc>
          <w:tcPr>
            <w:tcW w:w="3180" w:type="dxa"/>
            <w:tcMar>
              <w:top w:w="0" w:type="dxa"/>
              <w:bottom w:w="0" w:type="dxa"/>
            </w:tcMar>
            <w:vAlign w:val="center"/>
          </w:tcPr>
          <w:p w:rsidR="00F8448D" w:rsidRDefault="00DA2C9F">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rsidR="00F8448D" w:rsidRDefault="00DA2C9F">
            <w:pPr>
              <w:keepNext/>
              <w:keepLines/>
              <w:spacing w:after="0" w:line="240" w:lineRule="auto"/>
            </w:pPr>
            <w:r>
              <w:rPr>
                <w:sz w:val="18"/>
              </w:rPr>
              <w:t>6711</w:t>
            </w:r>
          </w:p>
        </w:tc>
        <w:tc>
          <w:tcPr>
            <w:tcW w:w="1860" w:type="dxa"/>
            <w:tcMar>
              <w:top w:w="0" w:type="dxa"/>
              <w:bottom w:w="0" w:type="dxa"/>
            </w:tcMar>
            <w:vAlign w:val="center"/>
          </w:tcPr>
          <w:p w:rsidR="00F8448D" w:rsidRDefault="00DA2C9F">
            <w:pPr>
              <w:keepNext/>
              <w:keepLines/>
              <w:spacing w:after="0" w:line="240" w:lineRule="auto"/>
              <w:jc w:val="right"/>
            </w:pPr>
            <w:r>
              <w:rPr>
                <w:sz w:val="18"/>
              </w:rPr>
              <w:t>2.483.355,90</w:t>
            </w:r>
          </w:p>
        </w:tc>
        <w:tc>
          <w:tcPr>
            <w:tcW w:w="1860" w:type="dxa"/>
            <w:tcMar>
              <w:top w:w="0" w:type="dxa"/>
              <w:bottom w:w="0" w:type="dxa"/>
            </w:tcMar>
            <w:vAlign w:val="center"/>
          </w:tcPr>
          <w:p w:rsidR="00F8448D" w:rsidRDefault="00DA2C9F">
            <w:pPr>
              <w:keepNext/>
              <w:keepLines/>
              <w:spacing w:after="0" w:line="240" w:lineRule="auto"/>
              <w:jc w:val="right"/>
            </w:pPr>
            <w:r>
              <w:rPr>
                <w:sz w:val="18"/>
              </w:rPr>
              <w:t>3.021.466,72</w:t>
            </w:r>
          </w:p>
        </w:tc>
        <w:tc>
          <w:tcPr>
            <w:tcW w:w="700" w:type="dxa"/>
            <w:tcMar>
              <w:top w:w="0" w:type="dxa"/>
              <w:bottom w:w="0" w:type="dxa"/>
            </w:tcMar>
            <w:vAlign w:val="center"/>
          </w:tcPr>
          <w:p w:rsidR="00F8448D" w:rsidRDefault="00DA2C9F">
            <w:pPr>
              <w:keepNext/>
              <w:keepLines/>
              <w:spacing w:after="0" w:line="240" w:lineRule="auto"/>
              <w:jc w:val="right"/>
            </w:pPr>
            <w:r>
              <w:rPr>
                <w:sz w:val="18"/>
              </w:rPr>
              <w:t>121,7</w:t>
            </w:r>
          </w:p>
        </w:tc>
      </w:tr>
    </w:tbl>
    <w:p w:rsidR="00F8448D" w:rsidRDefault="00F8448D">
      <w:pPr>
        <w:spacing w:after="0"/>
      </w:pPr>
    </w:p>
    <w:p w:rsidR="00F8448D" w:rsidRDefault="00DA2C9F">
      <w:r>
        <w:t xml:space="preserve">Šifra 6711 pokazuje prihod od nadležnog proračuna i to za plaće i naknade za zaposlene, materijalne i financijske troškove, troškove programa ZKL-a, u iznosu od 3.021.466,72 EUR, što je povećanje za 21,7 %. Povećanje se najviše odnosi na povećanje plaća i </w:t>
      </w:r>
      <w:r>
        <w:t>prava po kolektivnom ugovoru. Nisu doznačene plaće za prosinac 2025. godine, materijalna prava radnika, sredstva za premije osiguranja, te sredstva za materijalne rashode za studeni.</w:t>
      </w:r>
    </w:p>
    <w:p w:rsidR="00F8448D" w:rsidRDefault="00F8448D"/>
    <w:p w:rsidR="00F8448D" w:rsidRDefault="00DA2C9F">
      <w:pPr>
        <w:keepNext/>
        <w:spacing w:line="240" w:lineRule="auto"/>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w:t>
            </w:r>
            <w:r>
              <w:rPr>
                <w:b/>
                <w:sz w:val="18"/>
              </w:rPr>
              <w:t>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6712</w:t>
            </w:r>
          </w:p>
        </w:tc>
        <w:tc>
          <w:tcPr>
            <w:tcW w:w="3180" w:type="dxa"/>
            <w:tcMar>
              <w:top w:w="0" w:type="dxa"/>
              <w:bottom w:w="0" w:type="dxa"/>
            </w:tcMar>
            <w:vAlign w:val="center"/>
          </w:tcPr>
          <w:p w:rsidR="00F8448D" w:rsidRDefault="00DA2C9F">
            <w:pPr>
              <w:keepNext/>
              <w:keepLines/>
              <w:spacing w:after="0" w:line="240" w:lineRule="auto"/>
            </w:pPr>
            <w:r>
              <w:rPr>
                <w:sz w:val="18"/>
              </w:rPr>
              <w:t>Prihodi iz nadležnog proračuna za financiranje rashoda za nabavu nefinancijske imovine</w:t>
            </w:r>
          </w:p>
        </w:tc>
        <w:tc>
          <w:tcPr>
            <w:tcW w:w="700" w:type="dxa"/>
            <w:tcMar>
              <w:top w:w="0" w:type="dxa"/>
              <w:bottom w:w="0" w:type="dxa"/>
            </w:tcMar>
            <w:vAlign w:val="center"/>
          </w:tcPr>
          <w:p w:rsidR="00F8448D" w:rsidRDefault="00DA2C9F">
            <w:pPr>
              <w:keepNext/>
              <w:keepLines/>
              <w:spacing w:after="0" w:line="240" w:lineRule="auto"/>
            </w:pPr>
            <w:r>
              <w:rPr>
                <w:sz w:val="18"/>
              </w:rPr>
              <w:t>6712</w:t>
            </w:r>
          </w:p>
        </w:tc>
        <w:tc>
          <w:tcPr>
            <w:tcW w:w="1860" w:type="dxa"/>
            <w:tcMar>
              <w:top w:w="0" w:type="dxa"/>
              <w:bottom w:w="0" w:type="dxa"/>
            </w:tcMar>
            <w:vAlign w:val="center"/>
          </w:tcPr>
          <w:p w:rsidR="00F8448D" w:rsidRDefault="00DA2C9F">
            <w:pPr>
              <w:keepNext/>
              <w:keepLines/>
              <w:spacing w:after="0" w:line="240" w:lineRule="auto"/>
              <w:jc w:val="right"/>
            </w:pPr>
            <w:r>
              <w:rPr>
                <w:sz w:val="18"/>
              </w:rPr>
              <w:t>4.000,00</w:t>
            </w:r>
          </w:p>
        </w:tc>
        <w:tc>
          <w:tcPr>
            <w:tcW w:w="1860" w:type="dxa"/>
            <w:tcMar>
              <w:top w:w="0" w:type="dxa"/>
              <w:bottom w:w="0" w:type="dxa"/>
            </w:tcMar>
            <w:vAlign w:val="center"/>
          </w:tcPr>
          <w:p w:rsidR="00F8448D" w:rsidRDefault="00DA2C9F">
            <w:pPr>
              <w:keepNext/>
              <w:keepLines/>
              <w:spacing w:after="0" w:line="240" w:lineRule="auto"/>
              <w:jc w:val="right"/>
            </w:pPr>
            <w:r>
              <w:rPr>
                <w:sz w:val="18"/>
              </w:rPr>
              <w:t>11.500,00</w:t>
            </w:r>
          </w:p>
        </w:tc>
        <w:tc>
          <w:tcPr>
            <w:tcW w:w="700" w:type="dxa"/>
            <w:tcMar>
              <w:top w:w="0" w:type="dxa"/>
              <w:bottom w:w="0" w:type="dxa"/>
            </w:tcMar>
            <w:vAlign w:val="center"/>
          </w:tcPr>
          <w:p w:rsidR="00F8448D" w:rsidRDefault="00DA2C9F">
            <w:pPr>
              <w:keepNext/>
              <w:keepLines/>
              <w:spacing w:after="0" w:line="240" w:lineRule="auto"/>
              <w:jc w:val="right"/>
            </w:pPr>
            <w:r>
              <w:rPr>
                <w:sz w:val="18"/>
              </w:rPr>
              <w:t>287,5</w:t>
            </w:r>
          </w:p>
        </w:tc>
      </w:tr>
    </w:tbl>
    <w:p w:rsidR="00F8448D" w:rsidRDefault="00F8448D">
      <w:pPr>
        <w:spacing w:after="0"/>
      </w:pPr>
    </w:p>
    <w:p w:rsidR="00F8448D" w:rsidRDefault="00DA2C9F">
      <w:r>
        <w:t>Pod šifrom 6712 su prikazani prihod od nadležnog proračuna za nabavu nefinancijske imovine u iznosu od 11.500,00 EUR. Povećanje za 187,5% koje je u skladu s financijskim planom za 2025. godinu.</w:t>
      </w:r>
    </w:p>
    <w:p w:rsidR="00F8448D" w:rsidRDefault="00F8448D"/>
    <w:p w:rsidR="00F8448D" w:rsidRDefault="00DA2C9F">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w:t>
            </w:r>
            <w:r>
              <w:rPr>
                <w:b/>
                <w:sz w:val="18"/>
              </w:rPr>
              <w:t xml:space="preserve">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3111</w:t>
            </w:r>
          </w:p>
        </w:tc>
        <w:tc>
          <w:tcPr>
            <w:tcW w:w="3180" w:type="dxa"/>
            <w:tcMar>
              <w:top w:w="0" w:type="dxa"/>
              <w:bottom w:w="0" w:type="dxa"/>
            </w:tcMar>
            <w:vAlign w:val="center"/>
          </w:tcPr>
          <w:p w:rsidR="00F8448D" w:rsidRDefault="00DA2C9F">
            <w:pPr>
              <w:keepNext/>
              <w:keepLines/>
              <w:spacing w:after="0" w:line="240" w:lineRule="auto"/>
            </w:pPr>
            <w:r>
              <w:rPr>
                <w:sz w:val="18"/>
              </w:rPr>
              <w:t>Plaće za redovan rad</w:t>
            </w:r>
          </w:p>
        </w:tc>
        <w:tc>
          <w:tcPr>
            <w:tcW w:w="700" w:type="dxa"/>
            <w:tcMar>
              <w:top w:w="0" w:type="dxa"/>
              <w:bottom w:w="0" w:type="dxa"/>
            </w:tcMar>
            <w:vAlign w:val="center"/>
          </w:tcPr>
          <w:p w:rsidR="00F8448D" w:rsidRDefault="00DA2C9F">
            <w:pPr>
              <w:keepNext/>
              <w:keepLines/>
              <w:spacing w:after="0" w:line="240" w:lineRule="auto"/>
            </w:pPr>
            <w:r>
              <w:rPr>
                <w:sz w:val="18"/>
              </w:rPr>
              <w:t>3111</w:t>
            </w:r>
          </w:p>
        </w:tc>
        <w:tc>
          <w:tcPr>
            <w:tcW w:w="1860" w:type="dxa"/>
            <w:tcMar>
              <w:top w:w="0" w:type="dxa"/>
              <w:bottom w:w="0" w:type="dxa"/>
            </w:tcMar>
            <w:vAlign w:val="center"/>
          </w:tcPr>
          <w:p w:rsidR="00F8448D" w:rsidRDefault="00DA2C9F">
            <w:pPr>
              <w:keepNext/>
              <w:keepLines/>
              <w:spacing w:after="0" w:line="240" w:lineRule="auto"/>
              <w:jc w:val="right"/>
            </w:pPr>
            <w:r>
              <w:rPr>
                <w:sz w:val="18"/>
              </w:rPr>
              <w:t>1.858.937,29</w:t>
            </w:r>
          </w:p>
        </w:tc>
        <w:tc>
          <w:tcPr>
            <w:tcW w:w="1860" w:type="dxa"/>
            <w:tcMar>
              <w:top w:w="0" w:type="dxa"/>
              <w:bottom w:w="0" w:type="dxa"/>
            </w:tcMar>
            <w:vAlign w:val="center"/>
          </w:tcPr>
          <w:p w:rsidR="00F8448D" w:rsidRDefault="00DA2C9F">
            <w:pPr>
              <w:keepNext/>
              <w:keepLines/>
              <w:spacing w:after="0" w:line="240" w:lineRule="auto"/>
              <w:jc w:val="right"/>
            </w:pPr>
            <w:r>
              <w:rPr>
                <w:sz w:val="18"/>
              </w:rPr>
              <w:t>2.254.598,27</w:t>
            </w:r>
          </w:p>
        </w:tc>
        <w:tc>
          <w:tcPr>
            <w:tcW w:w="700" w:type="dxa"/>
            <w:tcMar>
              <w:top w:w="0" w:type="dxa"/>
              <w:bottom w:w="0" w:type="dxa"/>
            </w:tcMar>
            <w:vAlign w:val="center"/>
          </w:tcPr>
          <w:p w:rsidR="00F8448D" w:rsidRDefault="00DA2C9F">
            <w:pPr>
              <w:keepNext/>
              <w:keepLines/>
              <w:spacing w:after="0" w:line="240" w:lineRule="auto"/>
              <w:jc w:val="right"/>
            </w:pPr>
            <w:r>
              <w:rPr>
                <w:sz w:val="18"/>
              </w:rPr>
              <w:t>121,3</w:t>
            </w:r>
          </w:p>
        </w:tc>
      </w:tr>
    </w:tbl>
    <w:p w:rsidR="00F8448D" w:rsidRDefault="00F8448D">
      <w:pPr>
        <w:spacing w:after="0"/>
      </w:pPr>
    </w:p>
    <w:p w:rsidR="00F8448D" w:rsidRDefault="00DA2C9F">
      <w:r>
        <w:t>Pod Šifrom 3111 prikazani su rashodi za plaće u iznosu od 2.254.598,27 EUR koji su povećani za 21,3 % zbog povećanja po osnovi staža, te povećanja osnovice, te povećanja broja zaposlenika.</w:t>
      </w:r>
    </w:p>
    <w:p w:rsidR="00F8448D" w:rsidRDefault="00F8448D"/>
    <w:p w:rsidR="00F8448D" w:rsidRDefault="00DA2C9F">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w:t>
            </w:r>
            <w:r>
              <w:rPr>
                <w:b/>
                <w:sz w:val="18"/>
              </w:rPr>
              <w:t>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312</w:t>
            </w:r>
          </w:p>
        </w:tc>
        <w:tc>
          <w:tcPr>
            <w:tcW w:w="3180" w:type="dxa"/>
            <w:tcMar>
              <w:top w:w="0" w:type="dxa"/>
              <w:bottom w:w="0" w:type="dxa"/>
            </w:tcMar>
            <w:vAlign w:val="center"/>
          </w:tcPr>
          <w:p w:rsidR="00F8448D" w:rsidRDefault="00DA2C9F">
            <w:pPr>
              <w:keepNext/>
              <w:keepLines/>
              <w:spacing w:after="0" w:line="240" w:lineRule="auto"/>
            </w:pPr>
            <w:r>
              <w:rPr>
                <w:sz w:val="18"/>
              </w:rPr>
              <w:t>Ostali rashodi za zaposlene</w:t>
            </w:r>
          </w:p>
        </w:tc>
        <w:tc>
          <w:tcPr>
            <w:tcW w:w="700" w:type="dxa"/>
            <w:tcMar>
              <w:top w:w="0" w:type="dxa"/>
              <w:bottom w:w="0" w:type="dxa"/>
            </w:tcMar>
            <w:vAlign w:val="center"/>
          </w:tcPr>
          <w:p w:rsidR="00F8448D" w:rsidRDefault="00DA2C9F">
            <w:pPr>
              <w:keepNext/>
              <w:keepLines/>
              <w:spacing w:after="0" w:line="240" w:lineRule="auto"/>
            </w:pPr>
            <w:r>
              <w:rPr>
                <w:sz w:val="18"/>
              </w:rPr>
              <w:t>312</w:t>
            </w:r>
          </w:p>
        </w:tc>
        <w:tc>
          <w:tcPr>
            <w:tcW w:w="1860" w:type="dxa"/>
            <w:tcMar>
              <w:top w:w="0" w:type="dxa"/>
              <w:bottom w:w="0" w:type="dxa"/>
            </w:tcMar>
            <w:vAlign w:val="center"/>
          </w:tcPr>
          <w:p w:rsidR="00F8448D" w:rsidRDefault="00DA2C9F">
            <w:pPr>
              <w:keepNext/>
              <w:keepLines/>
              <w:spacing w:after="0" w:line="240" w:lineRule="auto"/>
              <w:jc w:val="right"/>
            </w:pPr>
            <w:r>
              <w:rPr>
                <w:sz w:val="18"/>
              </w:rPr>
              <w:t>152.790,09</w:t>
            </w:r>
          </w:p>
        </w:tc>
        <w:tc>
          <w:tcPr>
            <w:tcW w:w="1860" w:type="dxa"/>
            <w:tcMar>
              <w:top w:w="0" w:type="dxa"/>
              <w:bottom w:w="0" w:type="dxa"/>
            </w:tcMar>
            <w:vAlign w:val="center"/>
          </w:tcPr>
          <w:p w:rsidR="00F8448D" w:rsidRDefault="00DA2C9F">
            <w:pPr>
              <w:keepNext/>
              <w:keepLines/>
              <w:spacing w:after="0" w:line="240" w:lineRule="auto"/>
              <w:jc w:val="right"/>
            </w:pPr>
            <w:r>
              <w:rPr>
                <w:sz w:val="18"/>
              </w:rPr>
              <w:t>178.678,03</w:t>
            </w:r>
          </w:p>
        </w:tc>
        <w:tc>
          <w:tcPr>
            <w:tcW w:w="700" w:type="dxa"/>
            <w:tcMar>
              <w:top w:w="0" w:type="dxa"/>
              <w:bottom w:w="0" w:type="dxa"/>
            </w:tcMar>
            <w:vAlign w:val="center"/>
          </w:tcPr>
          <w:p w:rsidR="00F8448D" w:rsidRDefault="00DA2C9F">
            <w:pPr>
              <w:keepNext/>
              <w:keepLines/>
              <w:spacing w:after="0" w:line="240" w:lineRule="auto"/>
              <w:jc w:val="right"/>
            </w:pPr>
            <w:r>
              <w:rPr>
                <w:sz w:val="18"/>
              </w:rPr>
              <w:t>116,9</w:t>
            </w:r>
          </w:p>
        </w:tc>
      </w:tr>
    </w:tbl>
    <w:p w:rsidR="00F8448D" w:rsidRDefault="00F8448D">
      <w:pPr>
        <w:spacing w:after="0"/>
      </w:pPr>
    </w:p>
    <w:p w:rsidR="00F8448D" w:rsidRDefault="00DA2C9F">
      <w:r>
        <w:t>Pod šifrom 312 prikazani su ostali rashodi za zaposlene u iznosu od 178.678,03 EUR. Povećanje od 16,9 % se odnosi se na povećanje naknada za radna prava zaposlenika, te promjene u sustavu nagrađivanja zaposlenika sukladno Pravilniku o nagrađivanju radnika.</w:t>
      </w:r>
    </w:p>
    <w:p w:rsidR="00F8448D" w:rsidRDefault="00F8448D"/>
    <w:p w:rsidR="00F8448D" w:rsidRDefault="00DA2C9F">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3132</w:t>
            </w:r>
          </w:p>
        </w:tc>
        <w:tc>
          <w:tcPr>
            <w:tcW w:w="3180" w:type="dxa"/>
            <w:tcMar>
              <w:top w:w="0" w:type="dxa"/>
              <w:bottom w:w="0" w:type="dxa"/>
            </w:tcMar>
            <w:vAlign w:val="center"/>
          </w:tcPr>
          <w:p w:rsidR="00F8448D" w:rsidRDefault="00DA2C9F">
            <w:pPr>
              <w:keepNext/>
              <w:keepLines/>
              <w:spacing w:after="0" w:line="240" w:lineRule="auto"/>
            </w:pPr>
            <w:r>
              <w:rPr>
                <w:sz w:val="18"/>
              </w:rPr>
              <w:t>Doprinosi za obvezno zdravstveno osiguranje</w:t>
            </w:r>
          </w:p>
        </w:tc>
        <w:tc>
          <w:tcPr>
            <w:tcW w:w="700" w:type="dxa"/>
            <w:tcMar>
              <w:top w:w="0" w:type="dxa"/>
              <w:bottom w:w="0" w:type="dxa"/>
            </w:tcMar>
            <w:vAlign w:val="center"/>
          </w:tcPr>
          <w:p w:rsidR="00F8448D" w:rsidRDefault="00DA2C9F">
            <w:pPr>
              <w:keepNext/>
              <w:keepLines/>
              <w:spacing w:after="0" w:line="240" w:lineRule="auto"/>
            </w:pPr>
            <w:r>
              <w:rPr>
                <w:sz w:val="18"/>
              </w:rPr>
              <w:t>3132</w:t>
            </w:r>
          </w:p>
        </w:tc>
        <w:tc>
          <w:tcPr>
            <w:tcW w:w="1860" w:type="dxa"/>
            <w:tcMar>
              <w:top w:w="0" w:type="dxa"/>
              <w:bottom w:w="0" w:type="dxa"/>
            </w:tcMar>
            <w:vAlign w:val="center"/>
          </w:tcPr>
          <w:p w:rsidR="00F8448D" w:rsidRDefault="00DA2C9F">
            <w:pPr>
              <w:keepNext/>
              <w:keepLines/>
              <w:spacing w:after="0" w:line="240" w:lineRule="auto"/>
              <w:jc w:val="right"/>
            </w:pPr>
            <w:r>
              <w:rPr>
                <w:sz w:val="18"/>
              </w:rPr>
              <w:t>293.856,87</w:t>
            </w:r>
          </w:p>
        </w:tc>
        <w:tc>
          <w:tcPr>
            <w:tcW w:w="1860" w:type="dxa"/>
            <w:tcMar>
              <w:top w:w="0" w:type="dxa"/>
              <w:bottom w:w="0" w:type="dxa"/>
            </w:tcMar>
            <w:vAlign w:val="center"/>
          </w:tcPr>
          <w:p w:rsidR="00F8448D" w:rsidRDefault="00DA2C9F">
            <w:pPr>
              <w:keepNext/>
              <w:keepLines/>
              <w:spacing w:after="0" w:line="240" w:lineRule="auto"/>
              <w:jc w:val="right"/>
            </w:pPr>
            <w:r>
              <w:rPr>
                <w:sz w:val="18"/>
              </w:rPr>
              <w:t>364.933,51</w:t>
            </w:r>
          </w:p>
        </w:tc>
        <w:tc>
          <w:tcPr>
            <w:tcW w:w="700" w:type="dxa"/>
            <w:tcMar>
              <w:top w:w="0" w:type="dxa"/>
              <w:bottom w:w="0" w:type="dxa"/>
            </w:tcMar>
            <w:vAlign w:val="center"/>
          </w:tcPr>
          <w:p w:rsidR="00F8448D" w:rsidRDefault="00DA2C9F">
            <w:pPr>
              <w:keepNext/>
              <w:keepLines/>
              <w:spacing w:after="0" w:line="240" w:lineRule="auto"/>
              <w:jc w:val="right"/>
            </w:pPr>
            <w:r>
              <w:rPr>
                <w:sz w:val="18"/>
              </w:rPr>
              <w:t>124,2</w:t>
            </w:r>
          </w:p>
        </w:tc>
      </w:tr>
    </w:tbl>
    <w:p w:rsidR="00F8448D" w:rsidRDefault="00F8448D">
      <w:pPr>
        <w:spacing w:after="0"/>
      </w:pPr>
    </w:p>
    <w:p w:rsidR="00F8448D" w:rsidRDefault="00DA2C9F">
      <w:r>
        <w:t>Pod šifrom 3132 prikazani su rashodi za zdravstveno osiguranje u iznosu od 364.933,51 EUR, što je povećanje za 24,2 %. Rast nije proporcijalan rastu plaća jer su neki zaposlenici izgubili pravo oslobođenja plaćanja dopirnosa na plaću za mlađe od 30 godina.</w:t>
      </w:r>
    </w:p>
    <w:p w:rsidR="00F8448D" w:rsidRDefault="00F8448D"/>
    <w:p w:rsidR="00F8448D" w:rsidRDefault="00DA2C9F">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321</w:t>
            </w:r>
          </w:p>
        </w:tc>
        <w:tc>
          <w:tcPr>
            <w:tcW w:w="3180" w:type="dxa"/>
            <w:tcMar>
              <w:top w:w="0" w:type="dxa"/>
              <w:bottom w:w="0" w:type="dxa"/>
            </w:tcMar>
            <w:vAlign w:val="center"/>
          </w:tcPr>
          <w:p w:rsidR="00F8448D" w:rsidRDefault="00DA2C9F">
            <w:pPr>
              <w:keepNext/>
              <w:keepLines/>
              <w:spacing w:after="0" w:line="240" w:lineRule="auto"/>
            </w:pPr>
            <w:r>
              <w:rPr>
                <w:sz w:val="18"/>
              </w:rPr>
              <w:t>Naknade troškova zaposlenima (šifre 3211 do 3214)</w:t>
            </w:r>
          </w:p>
        </w:tc>
        <w:tc>
          <w:tcPr>
            <w:tcW w:w="700" w:type="dxa"/>
            <w:tcMar>
              <w:top w:w="0" w:type="dxa"/>
              <w:bottom w:w="0" w:type="dxa"/>
            </w:tcMar>
            <w:vAlign w:val="center"/>
          </w:tcPr>
          <w:p w:rsidR="00F8448D" w:rsidRDefault="00DA2C9F">
            <w:pPr>
              <w:keepNext/>
              <w:keepLines/>
              <w:spacing w:after="0" w:line="240" w:lineRule="auto"/>
            </w:pPr>
            <w:r>
              <w:rPr>
                <w:sz w:val="18"/>
              </w:rPr>
              <w:t>321</w:t>
            </w:r>
          </w:p>
        </w:tc>
        <w:tc>
          <w:tcPr>
            <w:tcW w:w="1860" w:type="dxa"/>
            <w:tcMar>
              <w:top w:w="0" w:type="dxa"/>
              <w:bottom w:w="0" w:type="dxa"/>
            </w:tcMar>
            <w:vAlign w:val="center"/>
          </w:tcPr>
          <w:p w:rsidR="00F8448D" w:rsidRDefault="00DA2C9F">
            <w:pPr>
              <w:keepNext/>
              <w:keepLines/>
              <w:spacing w:after="0" w:line="240" w:lineRule="auto"/>
              <w:jc w:val="right"/>
            </w:pPr>
            <w:r>
              <w:rPr>
                <w:sz w:val="18"/>
              </w:rPr>
              <w:t>46.157,24</w:t>
            </w:r>
          </w:p>
        </w:tc>
        <w:tc>
          <w:tcPr>
            <w:tcW w:w="1860" w:type="dxa"/>
            <w:tcMar>
              <w:top w:w="0" w:type="dxa"/>
              <w:bottom w:w="0" w:type="dxa"/>
            </w:tcMar>
            <w:vAlign w:val="center"/>
          </w:tcPr>
          <w:p w:rsidR="00F8448D" w:rsidRDefault="00DA2C9F">
            <w:pPr>
              <w:keepNext/>
              <w:keepLines/>
              <w:spacing w:after="0" w:line="240" w:lineRule="auto"/>
              <w:jc w:val="right"/>
            </w:pPr>
            <w:r>
              <w:rPr>
                <w:sz w:val="18"/>
              </w:rPr>
              <w:t>36.827,24</w:t>
            </w:r>
          </w:p>
        </w:tc>
        <w:tc>
          <w:tcPr>
            <w:tcW w:w="700" w:type="dxa"/>
            <w:tcMar>
              <w:top w:w="0" w:type="dxa"/>
              <w:bottom w:w="0" w:type="dxa"/>
            </w:tcMar>
            <w:vAlign w:val="center"/>
          </w:tcPr>
          <w:p w:rsidR="00F8448D" w:rsidRDefault="00DA2C9F">
            <w:pPr>
              <w:keepNext/>
              <w:keepLines/>
              <w:spacing w:after="0" w:line="240" w:lineRule="auto"/>
              <w:jc w:val="right"/>
            </w:pPr>
            <w:r>
              <w:rPr>
                <w:sz w:val="18"/>
              </w:rPr>
              <w:t>79,8</w:t>
            </w:r>
          </w:p>
        </w:tc>
      </w:tr>
    </w:tbl>
    <w:p w:rsidR="00F8448D" w:rsidRDefault="00F8448D">
      <w:pPr>
        <w:spacing w:after="0"/>
      </w:pPr>
    </w:p>
    <w:p w:rsidR="00F8448D" w:rsidRDefault="00DA2C9F">
      <w:r>
        <w:t>Pod šifrom 321 prikazane su naknade troškova zaposlenima u iznosu od 36.827,24 EUR na način da su smanjeni na pozicijama: troškovi službenih putovanja i troškovi stručnog osposobljavanja zaposlenika (nije ih bilo u 2025 godini). Povećani su naknade za prij</w:t>
      </w:r>
      <w:r>
        <w:t>evoz s posla i na posao.</w:t>
      </w:r>
    </w:p>
    <w:p w:rsidR="00F8448D" w:rsidRDefault="00F8448D"/>
    <w:p w:rsidR="00F8448D" w:rsidRDefault="00DA2C9F">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322</w:t>
            </w:r>
          </w:p>
        </w:tc>
        <w:tc>
          <w:tcPr>
            <w:tcW w:w="3180" w:type="dxa"/>
            <w:tcMar>
              <w:top w:w="0" w:type="dxa"/>
              <w:bottom w:w="0" w:type="dxa"/>
            </w:tcMar>
            <w:vAlign w:val="center"/>
          </w:tcPr>
          <w:p w:rsidR="00F8448D" w:rsidRDefault="00DA2C9F">
            <w:pPr>
              <w:keepNext/>
              <w:keepLines/>
              <w:spacing w:after="0" w:line="240" w:lineRule="auto"/>
            </w:pPr>
            <w:r>
              <w:rPr>
                <w:sz w:val="18"/>
              </w:rPr>
              <w:t>Rashodi za materijal i energiju (šifre 3221 do 3227)</w:t>
            </w:r>
          </w:p>
        </w:tc>
        <w:tc>
          <w:tcPr>
            <w:tcW w:w="700" w:type="dxa"/>
            <w:tcMar>
              <w:top w:w="0" w:type="dxa"/>
              <w:bottom w:w="0" w:type="dxa"/>
            </w:tcMar>
            <w:vAlign w:val="center"/>
          </w:tcPr>
          <w:p w:rsidR="00F8448D" w:rsidRDefault="00DA2C9F">
            <w:pPr>
              <w:keepNext/>
              <w:keepLines/>
              <w:spacing w:after="0" w:line="240" w:lineRule="auto"/>
            </w:pPr>
            <w:r>
              <w:rPr>
                <w:sz w:val="18"/>
              </w:rPr>
              <w:t>322</w:t>
            </w:r>
          </w:p>
        </w:tc>
        <w:tc>
          <w:tcPr>
            <w:tcW w:w="1860" w:type="dxa"/>
            <w:tcMar>
              <w:top w:w="0" w:type="dxa"/>
              <w:bottom w:w="0" w:type="dxa"/>
            </w:tcMar>
            <w:vAlign w:val="center"/>
          </w:tcPr>
          <w:p w:rsidR="00F8448D" w:rsidRDefault="00DA2C9F">
            <w:pPr>
              <w:keepNext/>
              <w:keepLines/>
              <w:spacing w:after="0" w:line="240" w:lineRule="auto"/>
              <w:jc w:val="right"/>
            </w:pPr>
            <w:r>
              <w:rPr>
                <w:sz w:val="18"/>
              </w:rPr>
              <w:t>103.264,42</w:t>
            </w:r>
          </w:p>
        </w:tc>
        <w:tc>
          <w:tcPr>
            <w:tcW w:w="1860" w:type="dxa"/>
            <w:tcMar>
              <w:top w:w="0" w:type="dxa"/>
              <w:bottom w:w="0" w:type="dxa"/>
            </w:tcMar>
            <w:vAlign w:val="center"/>
          </w:tcPr>
          <w:p w:rsidR="00F8448D" w:rsidRDefault="00DA2C9F">
            <w:pPr>
              <w:keepNext/>
              <w:keepLines/>
              <w:spacing w:after="0" w:line="240" w:lineRule="auto"/>
              <w:jc w:val="right"/>
            </w:pPr>
            <w:r>
              <w:rPr>
                <w:sz w:val="18"/>
              </w:rPr>
              <w:t>107.227,45</w:t>
            </w:r>
          </w:p>
        </w:tc>
        <w:tc>
          <w:tcPr>
            <w:tcW w:w="700" w:type="dxa"/>
            <w:tcMar>
              <w:top w:w="0" w:type="dxa"/>
              <w:bottom w:w="0" w:type="dxa"/>
            </w:tcMar>
            <w:vAlign w:val="center"/>
          </w:tcPr>
          <w:p w:rsidR="00F8448D" w:rsidRDefault="00DA2C9F">
            <w:pPr>
              <w:keepNext/>
              <w:keepLines/>
              <w:spacing w:after="0" w:line="240" w:lineRule="auto"/>
              <w:jc w:val="right"/>
            </w:pPr>
            <w:r>
              <w:rPr>
                <w:sz w:val="18"/>
              </w:rPr>
              <w:t>103,8</w:t>
            </w:r>
          </w:p>
        </w:tc>
      </w:tr>
    </w:tbl>
    <w:p w:rsidR="00F8448D" w:rsidRDefault="00F8448D">
      <w:pPr>
        <w:spacing w:after="0"/>
      </w:pPr>
    </w:p>
    <w:p w:rsidR="00F8448D" w:rsidRDefault="00DA2C9F">
      <w:r>
        <w:t>Pod šifrom 322 prikazani su rashodi za materijal i energiju u ukupnom iznosu 107.227,45 EUR koji su povećani u ukupnom iznosu za 3,8 % u odnosu na 2024. godinu i to na pozicijama: troškovi uredskog materijala, sitnog inventara, te troškovi na poziciji mate</w:t>
      </w:r>
      <w:r>
        <w:t>rijala i djelova za tekuće i investicijsko održavanje. Smanjeni su na pozicijama: materijala i sirovina, te na troškovima energije.</w:t>
      </w:r>
    </w:p>
    <w:p w:rsidR="00F8448D" w:rsidRDefault="00F8448D"/>
    <w:p w:rsidR="00F8448D" w:rsidRDefault="00DA2C9F">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w:t>
            </w:r>
            <w:r>
              <w:rPr>
                <w:b/>
                <w:sz w:val="18"/>
              </w:rPr>
              <w:t>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323</w:t>
            </w:r>
          </w:p>
        </w:tc>
        <w:tc>
          <w:tcPr>
            <w:tcW w:w="3180" w:type="dxa"/>
            <w:tcMar>
              <w:top w:w="0" w:type="dxa"/>
              <w:bottom w:w="0" w:type="dxa"/>
            </w:tcMar>
            <w:vAlign w:val="center"/>
          </w:tcPr>
          <w:p w:rsidR="00F8448D" w:rsidRDefault="00DA2C9F">
            <w:pPr>
              <w:keepNext/>
              <w:keepLines/>
              <w:spacing w:after="0" w:line="240" w:lineRule="auto"/>
            </w:pPr>
            <w:r>
              <w:rPr>
                <w:sz w:val="18"/>
              </w:rPr>
              <w:t>Rashodi za usluge (šifre 3231 do 3239)</w:t>
            </w:r>
          </w:p>
        </w:tc>
        <w:tc>
          <w:tcPr>
            <w:tcW w:w="700" w:type="dxa"/>
            <w:tcMar>
              <w:top w:w="0" w:type="dxa"/>
              <w:bottom w:w="0" w:type="dxa"/>
            </w:tcMar>
            <w:vAlign w:val="center"/>
          </w:tcPr>
          <w:p w:rsidR="00F8448D" w:rsidRDefault="00DA2C9F">
            <w:pPr>
              <w:keepNext/>
              <w:keepLines/>
              <w:spacing w:after="0" w:line="240" w:lineRule="auto"/>
            </w:pPr>
            <w:r>
              <w:rPr>
                <w:sz w:val="18"/>
              </w:rPr>
              <w:t>323</w:t>
            </w:r>
          </w:p>
        </w:tc>
        <w:tc>
          <w:tcPr>
            <w:tcW w:w="1860" w:type="dxa"/>
            <w:tcMar>
              <w:top w:w="0" w:type="dxa"/>
              <w:bottom w:w="0" w:type="dxa"/>
            </w:tcMar>
            <w:vAlign w:val="center"/>
          </w:tcPr>
          <w:p w:rsidR="00F8448D" w:rsidRDefault="00DA2C9F">
            <w:pPr>
              <w:keepNext/>
              <w:keepLines/>
              <w:spacing w:after="0" w:line="240" w:lineRule="auto"/>
              <w:jc w:val="right"/>
            </w:pPr>
            <w:r>
              <w:rPr>
                <w:sz w:val="18"/>
              </w:rPr>
              <w:t>307.206,56</w:t>
            </w:r>
          </w:p>
        </w:tc>
        <w:tc>
          <w:tcPr>
            <w:tcW w:w="1860" w:type="dxa"/>
            <w:tcMar>
              <w:top w:w="0" w:type="dxa"/>
              <w:bottom w:w="0" w:type="dxa"/>
            </w:tcMar>
            <w:vAlign w:val="center"/>
          </w:tcPr>
          <w:p w:rsidR="00F8448D" w:rsidRDefault="00DA2C9F">
            <w:pPr>
              <w:keepNext/>
              <w:keepLines/>
              <w:spacing w:after="0" w:line="240" w:lineRule="auto"/>
              <w:jc w:val="right"/>
            </w:pPr>
            <w:r>
              <w:rPr>
                <w:sz w:val="18"/>
              </w:rPr>
              <w:t>327.514,13</w:t>
            </w:r>
          </w:p>
        </w:tc>
        <w:tc>
          <w:tcPr>
            <w:tcW w:w="700" w:type="dxa"/>
            <w:tcMar>
              <w:top w:w="0" w:type="dxa"/>
              <w:bottom w:w="0" w:type="dxa"/>
            </w:tcMar>
            <w:vAlign w:val="center"/>
          </w:tcPr>
          <w:p w:rsidR="00F8448D" w:rsidRDefault="00DA2C9F">
            <w:pPr>
              <w:keepNext/>
              <w:keepLines/>
              <w:spacing w:after="0" w:line="240" w:lineRule="auto"/>
              <w:jc w:val="right"/>
            </w:pPr>
            <w:r>
              <w:rPr>
                <w:sz w:val="18"/>
              </w:rPr>
              <w:t>106,6</w:t>
            </w:r>
          </w:p>
        </w:tc>
      </w:tr>
    </w:tbl>
    <w:p w:rsidR="00F8448D" w:rsidRDefault="00F8448D">
      <w:pPr>
        <w:spacing w:after="0"/>
      </w:pPr>
    </w:p>
    <w:p w:rsidR="00F8448D" w:rsidRDefault="00DA2C9F">
      <w:r>
        <w:t>Pod šifrom 323 prikazani su rashodi za usluge u ukupnom iznosu 327.514,13 EUR (povećanje u ukupnom iznosu za 6,6 %): troškovi telefona, pošte i prijevoza (smanjeni zbog manjeg broja posjetitelja koji su koristili uslugu prijevoza), usluge tekućeg investici</w:t>
      </w:r>
      <w:r>
        <w:t>jskog održavanja (povećano u skladu plana tekućeg i investicijskog održavanja), usluge promidžbe (povećani zbog većeg obujma promidžbenog materijala), komunalne usluge (osim rasta cijena komunalnih usluga izvršeno je čišćenje nakon preseljenja iz skladišta</w:t>
      </w:r>
      <w:r>
        <w:t xml:space="preserve"> u Blatu), zdravstvene i veterinarske usluge (smanjenje je zbog izvršenog sistematskog pregleda za polovinu zaposlenika u 2024. godini, zbog ozljeda i prevencije ozljeda koristile su se usluge fizikalne terapije kako bi se program mogao odvijati prema rasp</w:t>
      </w:r>
      <w:r>
        <w:t xml:space="preserve">oredu), intelektualne usluge (povećanje se odnosi na veće troškove autorskih honorara odnosno ugovora o djelu), računalne usluge (povećanje zbog većeg broja potrebnih intervencija, te zbog promjene hostinga), te i ostale </w:t>
      </w:r>
      <w:r>
        <w:lastRenderedPageBreak/>
        <w:t xml:space="preserve">usluge (tiskarske usluge, čišćenje </w:t>
      </w:r>
      <w:r>
        <w:t>kostima, i dr.. Povećanje se odnosi na povećanje cijena i obujma usluga). Povećanje je nastalo u skladu s poslovanjem, odnosno osigurana su sredstva iz vlastitih prihoda.  </w:t>
      </w:r>
    </w:p>
    <w:p w:rsidR="00F8448D" w:rsidRDefault="00F8448D"/>
    <w:p w:rsidR="00F8448D" w:rsidRDefault="00DA2C9F">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w:t>
            </w:r>
            <w:r>
              <w:rPr>
                <w:b/>
                <w:sz w:val="18"/>
              </w:rPr>
              <w:t>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329</w:t>
            </w:r>
          </w:p>
        </w:tc>
        <w:tc>
          <w:tcPr>
            <w:tcW w:w="3180" w:type="dxa"/>
            <w:tcMar>
              <w:top w:w="0" w:type="dxa"/>
              <w:bottom w:w="0" w:type="dxa"/>
            </w:tcMar>
            <w:vAlign w:val="center"/>
          </w:tcPr>
          <w:p w:rsidR="00F8448D" w:rsidRDefault="00DA2C9F">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rsidR="00F8448D" w:rsidRDefault="00DA2C9F">
            <w:pPr>
              <w:keepNext/>
              <w:keepLines/>
              <w:spacing w:after="0" w:line="240" w:lineRule="auto"/>
            </w:pPr>
            <w:r>
              <w:rPr>
                <w:sz w:val="18"/>
              </w:rPr>
              <w:t>329</w:t>
            </w:r>
          </w:p>
        </w:tc>
        <w:tc>
          <w:tcPr>
            <w:tcW w:w="1860" w:type="dxa"/>
            <w:tcMar>
              <w:top w:w="0" w:type="dxa"/>
              <w:bottom w:w="0" w:type="dxa"/>
            </w:tcMar>
            <w:vAlign w:val="center"/>
          </w:tcPr>
          <w:p w:rsidR="00F8448D" w:rsidRDefault="00DA2C9F">
            <w:pPr>
              <w:keepNext/>
              <w:keepLines/>
              <w:spacing w:after="0" w:line="240" w:lineRule="auto"/>
              <w:jc w:val="right"/>
            </w:pPr>
            <w:r>
              <w:rPr>
                <w:sz w:val="18"/>
              </w:rPr>
              <w:t>39.534,57</w:t>
            </w:r>
          </w:p>
        </w:tc>
        <w:tc>
          <w:tcPr>
            <w:tcW w:w="1860" w:type="dxa"/>
            <w:tcMar>
              <w:top w:w="0" w:type="dxa"/>
              <w:bottom w:w="0" w:type="dxa"/>
            </w:tcMar>
            <w:vAlign w:val="center"/>
          </w:tcPr>
          <w:p w:rsidR="00F8448D" w:rsidRDefault="00DA2C9F">
            <w:pPr>
              <w:keepNext/>
              <w:keepLines/>
              <w:spacing w:after="0" w:line="240" w:lineRule="auto"/>
              <w:jc w:val="right"/>
            </w:pPr>
            <w:r>
              <w:rPr>
                <w:sz w:val="18"/>
              </w:rPr>
              <w:t>42.581,96</w:t>
            </w:r>
          </w:p>
        </w:tc>
        <w:tc>
          <w:tcPr>
            <w:tcW w:w="700" w:type="dxa"/>
            <w:tcMar>
              <w:top w:w="0" w:type="dxa"/>
              <w:bottom w:w="0" w:type="dxa"/>
            </w:tcMar>
            <w:vAlign w:val="center"/>
          </w:tcPr>
          <w:p w:rsidR="00F8448D" w:rsidRDefault="00DA2C9F">
            <w:pPr>
              <w:keepNext/>
              <w:keepLines/>
              <w:spacing w:after="0" w:line="240" w:lineRule="auto"/>
              <w:jc w:val="right"/>
            </w:pPr>
            <w:r>
              <w:rPr>
                <w:sz w:val="18"/>
              </w:rPr>
              <w:t>107,7</w:t>
            </w:r>
          </w:p>
        </w:tc>
      </w:tr>
    </w:tbl>
    <w:p w:rsidR="00F8448D" w:rsidRDefault="00F8448D">
      <w:pPr>
        <w:spacing w:after="0"/>
      </w:pPr>
    </w:p>
    <w:p w:rsidR="00F8448D" w:rsidRDefault="00DA2C9F">
      <w:r>
        <w:t xml:space="preserve">Pod šifrom 329 evidentirane su naknade za rad Kazališnog vijeća (smanjeno zbog manjeg broja sjednica), premije osiguranja (povećano zbog nabave nove imovine), reprezentacija (povećanje zbog rasta cijena usluga npr. domjenak za premijeru, cvijeće te ostali </w:t>
      </w:r>
      <w:r>
        <w:t>slični troškovi), članarine, troškovi naknada za nezapošljavanje invalida, te ostali nespomenuti rashodi poslovanja u ukupnom iznosu od 42.581,96 EUR. Troškovi su povećani za 7,7 %.</w:t>
      </w:r>
    </w:p>
    <w:p w:rsidR="00F8448D" w:rsidRDefault="00F8448D"/>
    <w:p w:rsidR="00F8448D" w:rsidRDefault="00DA2C9F">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w:t>
            </w:r>
            <w:r>
              <w:rPr>
                <w:b/>
                <w:sz w:val="18"/>
              </w:rPr>
              <w:t>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343</w:t>
            </w:r>
          </w:p>
        </w:tc>
        <w:tc>
          <w:tcPr>
            <w:tcW w:w="3180" w:type="dxa"/>
            <w:tcMar>
              <w:top w:w="0" w:type="dxa"/>
              <w:bottom w:w="0" w:type="dxa"/>
            </w:tcMar>
            <w:vAlign w:val="center"/>
          </w:tcPr>
          <w:p w:rsidR="00F8448D" w:rsidRDefault="00DA2C9F">
            <w:pPr>
              <w:keepNext/>
              <w:keepLines/>
              <w:spacing w:after="0" w:line="240" w:lineRule="auto"/>
            </w:pPr>
            <w:r>
              <w:rPr>
                <w:sz w:val="18"/>
              </w:rPr>
              <w:t>Ostali financijski rashodi (šifre 3431 do 3434)</w:t>
            </w:r>
          </w:p>
        </w:tc>
        <w:tc>
          <w:tcPr>
            <w:tcW w:w="700" w:type="dxa"/>
            <w:tcMar>
              <w:top w:w="0" w:type="dxa"/>
              <w:bottom w:w="0" w:type="dxa"/>
            </w:tcMar>
            <w:vAlign w:val="center"/>
          </w:tcPr>
          <w:p w:rsidR="00F8448D" w:rsidRDefault="00DA2C9F">
            <w:pPr>
              <w:keepNext/>
              <w:keepLines/>
              <w:spacing w:after="0" w:line="240" w:lineRule="auto"/>
            </w:pPr>
            <w:r>
              <w:rPr>
                <w:sz w:val="18"/>
              </w:rPr>
              <w:t>343</w:t>
            </w:r>
          </w:p>
        </w:tc>
        <w:tc>
          <w:tcPr>
            <w:tcW w:w="1860" w:type="dxa"/>
            <w:tcMar>
              <w:top w:w="0" w:type="dxa"/>
              <w:bottom w:w="0" w:type="dxa"/>
            </w:tcMar>
            <w:vAlign w:val="center"/>
          </w:tcPr>
          <w:p w:rsidR="00F8448D" w:rsidRDefault="00DA2C9F">
            <w:pPr>
              <w:keepNext/>
              <w:keepLines/>
              <w:spacing w:after="0" w:line="240" w:lineRule="auto"/>
              <w:jc w:val="right"/>
            </w:pPr>
            <w:r>
              <w:rPr>
                <w:sz w:val="18"/>
              </w:rPr>
              <w:t>2.701,08</w:t>
            </w:r>
          </w:p>
        </w:tc>
        <w:tc>
          <w:tcPr>
            <w:tcW w:w="1860" w:type="dxa"/>
            <w:tcMar>
              <w:top w:w="0" w:type="dxa"/>
              <w:bottom w:w="0" w:type="dxa"/>
            </w:tcMar>
            <w:vAlign w:val="center"/>
          </w:tcPr>
          <w:p w:rsidR="00F8448D" w:rsidRDefault="00DA2C9F">
            <w:pPr>
              <w:keepNext/>
              <w:keepLines/>
              <w:spacing w:after="0" w:line="240" w:lineRule="auto"/>
              <w:jc w:val="right"/>
            </w:pPr>
            <w:r>
              <w:rPr>
                <w:sz w:val="18"/>
              </w:rPr>
              <w:t>2.345,22</w:t>
            </w:r>
          </w:p>
        </w:tc>
        <w:tc>
          <w:tcPr>
            <w:tcW w:w="700" w:type="dxa"/>
            <w:tcMar>
              <w:top w:w="0" w:type="dxa"/>
              <w:bottom w:w="0" w:type="dxa"/>
            </w:tcMar>
            <w:vAlign w:val="center"/>
          </w:tcPr>
          <w:p w:rsidR="00F8448D" w:rsidRDefault="00DA2C9F">
            <w:pPr>
              <w:keepNext/>
              <w:keepLines/>
              <w:spacing w:after="0" w:line="240" w:lineRule="auto"/>
              <w:jc w:val="right"/>
            </w:pPr>
            <w:r>
              <w:rPr>
                <w:sz w:val="18"/>
              </w:rPr>
              <w:t>86,8</w:t>
            </w:r>
          </w:p>
        </w:tc>
      </w:tr>
    </w:tbl>
    <w:p w:rsidR="00F8448D" w:rsidRDefault="00F8448D">
      <w:pPr>
        <w:spacing w:after="0"/>
      </w:pPr>
    </w:p>
    <w:p w:rsidR="00F8448D" w:rsidRDefault="00DA2C9F">
      <w:r>
        <w:t>Pod šifrom 343 evidentirane su usluge platnog prometa, zatezne kamate i sudske pristojbe u ukupnom iznosu od 2.345,22 EUR što je je smanjenje u odnosu na 2024. za 13,2 %.</w:t>
      </w:r>
    </w:p>
    <w:p w:rsidR="00F8448D" w:rsidRDefault="00F8448D"/>
    <w:p w:rsidR="00F8448D" w:rsidRDefault="00DA2C9F">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w:t>
            </w:r>
            <w:r>
              <w:rPr>
                <w:b/>
                <w:sz w:val="18"/>
              </w:rPr>
              <w:t>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422</w:t>
            </w:r>
          </w:p>
        </w:tc>
        <w:tc>
          <w:tcPr>
            <w:tcW w:w="3180" w:type="dxa"/>
            <w:tcMar>
              <w:top w:w="0" w:type="dxa"/>
              <w:bottom w:w="0" w:type="dxa"/>
            </w:tcMar>
            <w:vAlign w:val="center"/>
          </w:tcPr>
          <w:p w:rsidR="00F8448D" w:rsidRDefault="00DA2C9F">
            <w:pPr>
              <w:keepNext/>
              <w:keepLines/>
              <w:spacing w:after="0" w:line="240" w:lineRule="auto"/>
            </w:pPr>
            <w:r>
              <w:rPr>
                <w:sz w:val="18"/>
              </w:rPr>
              <w:t>Postrojenja i oprema (šifre 4221 do 4228)</w:t>
            </w:r>
          </w:p>
        </w:tc>
        <w:tc>
          <w:tcPr>
            <w:tcW w:w="700" w:type="dxa"/>
            <w:tcMar>
              <w:top w:w="0" w:type="dxa"/>
              <w:bottom w:w="0" w:type="dxa"/>
            </w:tcMar>
            <w:vAlign w:val="center"/>
          </w:tcPr>
          <w:p w:rsidR="00F8448D" w:rsidRDefault="00DA2C9F">
            <w:pPr>
              <w:keepNext/>
              <w:keepLines/>
              <w:spacing w:after="0" w:line="240" w:lineRule="auto"/>
            </w:pPr>
            <w:r>
              <w:rPr>
                <w:sz w:val="18"/>
              </w:rPr>
              <w:t>422</w:t>
            </w:r>
          </w:p>
        </w:tc>
        <w:tc>
          <w:tcPr>
            <w:tcW w:w="1860" w:type="dxa"/>
            <w:tcMar>
              <w:top w:w="0" w:type="dxa"/>
              <w:bottom w:w="0" w:type="dxa"/>
            </w:tcMar>
            <w:vAlign w:val="center"/>
          </w:tcPr>
          <w:p w:rsidR="00F8448D" w:rsidRDefault="00DA2C9F">
            <w:pPr>
              <w:keepNext/>
              <w:keepLines/>
              <w:spacing w:after="0" w:line="240" w:lineRule="auto"/>
              <w:jc w:val="right"/>
            </w:pPr>
            <w:r>
              <w:rPr>
                <w:sz w:val="18"/>
              </w:rPr>
              <w:t>13.917,54</w:t>
            </w:r>
          </w:p>
        </w:tc>
        <w:tc>
          <w:tcPr>
            <w:tcW w:w="1860" w:type="dxa"/>
            <w:tcMar>
              <w:top w:w="0" w:type="dxa"/>
              <w:bottom w:w="0" w:type="dxa"/>
            </w:tcMar>
            <w:vAlign w:val="center"/>
          </w:tcPr>
          <w:p w:rsidR="00F8448D" w:rsidRDefault="00DA2C9F">
            <w:pPr>
              <w:keepNext/>
              <w:keepLines/>
              <w:spacing w:after="0" w:line="240" w:lineRule="auto"/>
              <w:jc w:val="right"/>
            </w:pPr>
            <w:r>
              <w:rPr>
                <w:sz w:val="18"/>
              </w:rPr>
              <w:t>25.382,07</w:t>
            </w:r>
          </w:p>
        </w:tc>
        <w:tc>
          <w:tcPr>
            <w:tcW w:w="700" w:type="dxa"/>
            <w:tcMar>
              <w:top w:w="0" w:type="dxa"/>
              <w:bottom w:w="0" w:type="dxa"/>
            </w:tcMar>
            <w:vAlign w:val="center"/>
          </w:tcPr>
          <w:p w:rsidR="00F8448D" w:rsidRDefault="00DA2C9F">
            <w:pPr>
              <w:keepNext/>
              <w:keepLines/>
              <w:spacing w:after="0" w:line="240" w:lineRule="auto"/>
              <w:jc w:val="right"/>
            </w:pPr>
            <w:r>
              <w:rPr>
                <w:sz w:val="18"/>
              </w:rPr>
              <w:t>182,4</w:t>
            </w:r>
          </w:p>
        </w:tc>
      </w:tr>
    </w:tbl>
    <w:p w:rsidR="00F8448D" w:rsidRDefault="00F8448D">
      <w:pPr>
        <w:spacing w:after="0"/>
      </w:pPr>
    </w:p>
    <w:p w:rsidR="00F8448D" w:rsidRDefault="00DA2C9F">
      <w:r>
        <w:t>Pod šifrom 422 prikazani su rashodi za nabavu nefinancijske imovine u iznosu od 25.382,07 EUR. Nabavljena su nova računala, audio oprema (mikrofonski sustav), ventilacijski sustav radionice, šivaći stroj te stroj za čišćenje i pranje podova.</w:t>
      </w:r>
    </w:p>
    <w:p w:rsidR="00F8448D" w:rsidRDefault="00F8448D"/>
    <w:p w:rsidR="00F8448D" w:rsidRDefault="00DA2C9F">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426</w:t>
            </w:r>
          </w:p>
        </w:tc>
        <w:tc>
          <w:tcPr>
            <w:tcW w:w="3180" w:type="dxa"/>
            <w:tcMar>
              <w:top w:w="0" w:type="dxa"/>
              <w:bottom w:w="0" w:type="dxa"/>
            </w:tcMar>
            <w:vAlign w:val="center"/>
          </w:tcPr>
          <w:p w:rsidR="00F8448D" w:rsidRDefault="00DA2C9F">
            <w:pPr>
              <w:keepNext/>
              <w:keepLines/>
              <w:spacing w:after="0" w:line="240" w:lineRule="auto"/>
            </w:pPr>
            <w:r>
              <w:rPr>
                <w:sz w:val="18"/>
              </w:rPr>
              <w:t>Nematerijalna proizvedena imovina (šifre 4261 do 4264)</w:t>
            </w:r>
          </w:p>
        </w:tc>
        <w:tc>
          <w:tcPr>
            <w:tcW w:w="700" w:type="dxa"/>
            <w:tcMar>
              <w:top w:w="0" w:type="dxa"/>
              <w:bottom w:w="0" w:type="dxa"/>
            </w:tcMar>
            <w:vAlign w:val="center"/>
          </w:tcPr>
          <w:p w:rsidR="00F8448D" w:rsidRDefault="00DA2C9F">
            <w:pPr>
              <w:keepNext/>
              <w:keepLines/>
              <w:spacing w:after="0" w:line="240" w:lineRule="auto"/>
            </w:pPr>
            <w:r>
              <w:rPr>
                <w:sz w:val="18"/>
              </w:rPr>
              <w:t>426</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1860" w:type="dxa"/>
            <w:tcMar>
              <w:top w:w="0" w:type="dxa"/>
              <w:bottom w:w="0" w:type="dxa"/>
            </w:tcMar>
            <w:vAlign w:val="center"/>
          </w:tcPr>
          <w:p w:rsidR="00F8448D" w:rsidRDefault="00DA2C9F">
            <w:pPr>
              <w:keepNext/>
              <w:keepLines/>
              <w:spacing w:after="0" w:line="240" w:lineRule="auto"/>
              <w:jc w:val="right"/>
            </w:pPr>
            <w:r>
              <w:rPr>
                <w:sz w:val="18"/>
              </w:rPr>
              <w:t>998,75</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bl>
    <w:p w:rsidR="00F8448D" w:rsidRDefault="00F8448D">
      <w:pPr>
        <w:spacing w:after="0"/>
      </w:pPr>
    </w:p>
    <w:p w:rsidR="00F8448D" w:rsidRDefault="00DA2C9F">
      <w:r>
        <w:t>Pod oznakom 426 nabavljena je licenca za računalni program rasvjete u iznosu od 998,75 EUR.</w:t>
      </w:r>
    </w:p>
    <w:p w:rsidR="00F8448D" w:rsidRDefault="00F8448D"/>
    <w:p w:rsidR="00F8448D" w:rsidRDefault="00DA2C9F">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sz w:val="18"/>
              </w:rPr>
              <w:t>VIŠAK PRIHODA I PRIMITAKA (šifre X678-Y345)</w:t>
            </w:r>
          </w:p>
        </w:tc>
        <w:tc>
          <w:tcPr>
            <w:tcW w:w="700" w:type="dxa"/>
            <w:tcMar>
              <w:top w:w="0" w:type="dxa"/>
              <w:bottom w:w="0" w:type="dxa"/>
            </w:tcMar>
            <w:vAlign w:val="center"/>
          </w:tcPr>
          <w:p w:rsidR="00F8448D" w:rsidRDefault="00DA2C9F">
            <w:pPr>
              <w:keepNext/>
              <w:keepLines/>
              <w:spacing w:after="0" w:line="240" w:lineRule="auto"/>
            </w:pPr>
            <w:r>
              <w:rPr>
                <w:sz w:val="18"/>
              </w:rPr>
              <w:t>X005</w:t>
            </w:r>
          </w:p>
        </w:tc>
        <w:tc>
          <w:tcPr>
            <w:tcW w:w="1860" w:type="dxa"/>
            <w:tcMar>
              <w:top w:w="0" w:type="dxa"/>
              <w:bottom w:w="0" w:type="dxa"/>
            </w:tcMar>
            <w:vAlign w:val="center"/>
          </w:tcPr>
          <w:p w:rsidR="00F8448D" w:rsidRDefault="00DA2C9F">
            <w:pPr>
              <w:keepNext/>
              <w:keepLines/>
              <w:spacing w:after="0" w:line="240" w:lineRule="auto"/>
              <w:jc w:val="right"/>
            </w:pPr>
            <w:r>
              <w:rPr>
                <w:sz w:val="18"/>
              </w:rPr>
              <w:t>37.726,69</w:t>
            </w:r>
          </w:p>
        </w:tc>
        <w:tc>
          <w:tcPr>
            <w:tcW w:w="1860" w:type="dxa"/>
            <w:tcMar>
              <w:top w:w="0" w:type="dxa"/>
              <w:bottom w:w="0" w:type="dxa"/>
            </w:tcMar>
            <w:vAlign w:val="center"/>
          </w:tcPr>
          <w:p w:rsidR="00F8448D" w:rsidRDefault="00DA2C9F">
            <w:pPr>
              <w:keepNext/>
              <w:keepLines/>
              <w:spacing w:after="0" w:line="240" w:lineRule="auto"/>
              <w:jc w:val="right"/>
            </w:pPr>
            <w:r>
              <w:rPr>
                <w:sz w:val="18"/>
              </w:rPr>
              <w:t>50.770,13</w:t>
            </w:r>
          </w:p>
        </w:tc>
        <w:tc>
          <w:tcPr>
            <w:tcW w:w="700" w:type="dxa"/>
            <w:tcMar>
              <w:top w:w="0" w:type="dxa"/>
              <w:bottom w:w="0" w:type="dxa"/>
            </w:tcMar>
            <w:vAlign w:val="center"/>
          </w:tcPr>
          <w:p w:rsidR="00F8448D" w:rsidRDefault="00DA2C9F">
            <w:pPr>
              <w:keepNext/>
              <w:keepLines/>
              <w:spacing w:after="0" w:line="240" w:lineRule="auto"/>
              <w:jc w:val="right"/>
            </w:pPr>
            <w:r>
              <w:rPr>
                <w:sz w:val="18"/>
              </w:rPr>
              <w:t>134,6</w:t>
            </w:r>
          </w:p>
        </w:tc>
      </w:tr>
    </w:tbl>
    <w:p w:rsidR="00F8448D" w:rsidRDefault="00F8448D">
      <w:pPr>
        <w:spacing w:after="0"/>
      </w:pPr>
    </w:p>
    <w:p w:rsidR="00F8448D" w:rsidRDefault="00DA2C9F">
      <w:r>
        <w:t>X005 prikazuje višak prihoda i primitaka iz tekuće godine u iznosu od 50.770,13 EUR koji je proizašao zbog ostvarenja većih prihoda od planiranih dok su rashodi ostali unutar planiranih vrijednosti.</w:t>
      </w:r>
    </w:p>
    <w:p w:rsidR="00F8448D" w:rsidRDefault="00F8448D"/>
    <w:p w:rsidR="00F8448D" w:rsidRDefault="00DA2C9F">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w:t>
            </w:r>
            <w:r>
              <w:rPr>
                <w:b/>
                <w:sz w:val="18"/>
              </w:rPr>
              <w:t>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9221-9222</w:t>
            </w:r>
          </w:p>
        </w:tc>
        <w:tc>
          <w:tcPr>
            <w:tcW w:w="3180" w:type="dxa"/>
            <w:tcMar>
              <w:top w:w="0" w:type="dxa"/>
              <w:bottom w:w="0" w:type="dxa"/>
            </w:tcMar>
            <w:vAlign w:val="center"/>
          </w:tcPr>
          <w:p w:rsidR="00F8448D" w:rsidRDefault="00DA2C9F">
            <w:pPr>
              <w:keepNext/>
              <w:keepLines/>
              <w:spacing w:after="0" w:line="240" w:lineRule="auto"/>
            </w:pPr>
            <w:r>
              <w:rPr>
                <w:sz w:val="18"/>
              </w:rPr>
              <w:t>Višak prihoda i primitaka - preneseni (šifre '9221x,9222x VP' - '9221x,9222x MP' + 92213 - 92223)</w:t>
            </w:r>
          </w:p>
        </w:tc>
        <w:tc>
          <w:tcPr>
            <w:tcW w:w="700" w:type="dxa"/>
            <w:tcMar>
              <w:top w:w="0" w:type="dxa"/>
              <w:bottom w:w="0" w:type="dxa"/>
            </w:tcMar>
            <w:vAlign w:val="center"/>
          </w:tcPr>
          <w:p w:rsidR="00F8448D" w:rsidRDefault="00DA2C9F">
            <w:pPr>
              <w:keepNext/>
              <w:keepLines/>
              <w:spacing w:after="0" w:line="240" w:lineRule="auto"/>
            </w:pPr>
            <w:r>
              <w:rPr>
                <w:sz w:val="18"/>
              </w:rPr>
              <w:t>9221-9222</w:t>
            </w:r>
          </w:p>
        </w:tc>
        <w:tc>
          <w:tcPr>
            <w:tcW w:w="1860" w:type="dxa"/>
            <w:tcMar>
              <w:top w:w="0" w:type="dxa"/>
              <w:bottom w:w="0" w:type="dxa"/>
            </w:tcMar>
            <w:vAlign w:val="center"/>
          </w:tcPr>
          <w:p w:rsidR="00F8448D" w:rsidRDefault="00DA2C9F">
            <w:pPr>
              <w:keepNext/>
              <w:keepLines/>
              <w:spacing w:after="0" w:line="240" w:lineRule="auto"/>
              <w:jc w:val="right"/>
            </w:pPr>
            <w:r>
              <w:rPr>
                <w:sz w:val="18"/>
              </w:rPr>
              <w:t>11.048,13</w:t>
            </w:r>
          </w:p>
        </w:tc>
        <w:tc>
          <w:tcPr>
            <w:tcW w:w="1860" w:type="dxa"/>
            <w:tcMar>
              <w:top w:w="0" w:type="dxa"/>
              <w:bottom w:w="0" w:type="dxa"/>
            </w:tcMar>
            <w:vAlign w:val="center"/>
          </w:tcPr>
          <w:p w:rsidR="00F8448D" w:rsidRDefault="00DA2C9F">
            <w:pPr>
              <w:keepNext/>
              <w:keepLines/>
              <w:spacing w:after="0" w:line="240" w:lineRule="auto"/>
              <w:jc w:val="right"/>
            </w:pPr>
            <w:r>
              <w:rPr>
                <w:sz w:val="18"/>
              </w:rPr>
              <w:t>48.774,82</w:t>
            </w:r>
          </w:p>
        </w:tc>
        <w:tc>
          <w:tcPr>
            <w:tcW w:w="700" w:type="dxa"/>
            <w:tcMar>
              <w:top w:w="0" w:type="dxa"/>
              <w:bottom w:w="0" w:type="dxa"/>
            </w:tcMar>
            <w:vAlign w:val="center"/>
          </w:tcPr>
          <w:p w:rsidR="00F8448D" w:rsidRDefault="00DA2C9F">
            <w:pPr>
              <w:keepNext/>
              <w:keepLines/>
              <w:spacing w:after="0" w:line="240" w:lineRule="auto"/>
              <w:jc w:val="right"/>
            </w:pPr>
            <w:r>
              <w:rPr>
                <w:sz w:val="18"/>
              </w:rPr>
              <w:t>441,5</w:t>
            </w:r>
          </w:p>
        </w:tc>
      </w:tr>
    </w:tbl>
    <w:p w:rsidR="00F8448D" w:rsidRDefault="00F8448D">
      <w:pPr>
        <w:spacing w:after="0"/>
      </w:pPr>
    </w:p>
    <w:p w:rsidR="00F8448D" w:rsidRDefault="00DA2C9F">
      <w:r>
        <w:t>Oznaka  9221-9222 prikazuje preneseni višak u iznosu od 48.774,82 EUR.</w:t>
      </w:r>
    </w:p>
    <w:p w:rsidR="00F8448D" w:rsidRDefault="00F8448D"/>
    <w:p w:rsidR="00F8448D" w:rsidRDefault="00DA2C9F">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sz w:val="18"/>
              </w:rPr>
              <w:t xml:space="preserve">Višak prihoda i </w:t>
            </w:r>
            <w:r>
              <w:rPr>
                <w:sz w:val="18"/>
              </w:rPr>
              <w:t>primitaka raspoloživ u sljedećem razdoblju (šifre X005 + '9221-9222' - Y005 - '9222-9221')</w:t>
            </w:r>
          </w:p>
        </w:tc>
        <w:tc>
          <w:tcPr>
            <w:tcW w:w="700" w:type="dxa"/>
            <w:tcMar>
              <w:top w:w="0" w:type="dxa"/>
              <w:bottom w:w="0" w:type="dxa"/>
            </w:tcMar>
            <w:vAlign w:val="center"/>
          </w:tcPr>
          <w:p w:rsidR="00F8448D" w:rsidRDefault="00DA2C9F">
            <w:pPr>
              <w:keepNext/>
              <w:keepLines/>
              <w:spacing w:after="0" w:line="240" w:lineRule="auto"/>
            </w:pPr>
            <w:r>
              <w:rPr>
                <w:sz w:val="18"/>
              </w:rPr>
              <w:t>X006</w:t>
            </w:r>
          </w:p>
        </w:tc>
        <w:tc>
          <w:tcPr>
            <w:tcW w:w="1860" w:type="dxa"/>
            <w:tcMar>
              <w:top w:w="0" w:type="dxa"/>
              <w:bottom w:w="0" w:type="dxa"/>
            </w:tcMar>
            <w:vAlign w:val="center"/>
          </w:tcPr>
          <w:p w:rsidR="00F8448D" w:rsidRDefault="00DA2C9F">
            <w:pPr>
              <w:keepNext/>
              <w:keepLines/>
              <w:spacing w:after="0" w:line="240" w:lineRule="auto"/>
              <w:jc w:val="right"/>
            </w:pPr>
            <w:r>
              <w:rPr>
                <w:sz w:val="18"/>
              </w:rPr>
              <w:t>48.774,82</w:t>
            </w:r>
          </w:p>
        </w:tc>
        <w:tc>
          <w:tcPr>
            <w:tcW w:w="1860" w:type="dxa"/>
            <w:tcMar>
              <w:top w:w="0" w:type="dxa"/>
              <w:bottom w:w="0" w:type="dxa"/>
            </w:tcMar>
            <w:vAlign w:val="center"/>
          </w:tcPr>
          <w:p w:rsidR="00F8448D" w:rsidRDefault="00DA2C9F">
            <w:pPr>
              <w:keepNext/>
              <w:keepLines/>
              <w:spacing w:after="0" w:line="240" w:lineRule="auto"/>
              <w:jc w:val="right"/>
            </w:pPr>
            <w:r>
              <w:rPr>
                <w:sz w:val="18"/>
              </w:rPr>
              <w:t>99.544,95</w:t>
            </w:r>
          </w:p>
        </w:tc>
        <w:tc>
          <w:tcPr>
            <w:tcW w:w="700" w:type="dxa"/>
            <w:tcMar>
              <w:top w:w="0" w:type="dxa"/>
              <w:bottom w:w="0" w:type="dxa"/>
            </w:tcMar>
            <w:vAlign w:val="center"/>
          </w:tcPr>
          <w:p w:rsidR="00F8448D" w:rsidRDefault="00DA2C9F">
            <w:pPr>
              <w:keepNext/>
              <w:keepLines/>
              <w:spacing w:after="0" w:line="240" w:lineRule="auto"/>
              <w:jc w:val="right"/>
            </w:pPr>
            <w:r>
              <w:rPr>
                <w:sz w:val="18"/>
              </w:rPr>
              <w:t>204,1</w:t>
            </w:r>
          </w:p>
        </w:tc>
      </w:tr>
    </w:tbl>
    <w:p w:rsidR="00F8448D" w:rsidRDefault="00F8448D">
      <w:pPr>
        <w:spacing w:after="0"/>
      </w:pPr>
    </w:p>
    <w:p w:rsidR="00F8448D" w:rsidRDefault="00DA2C9F">
      <w:r>
        <w:t>Oznaka X006 prikazuje višak prihoda i primitaka raspoloživ u sljedećem razdoblju u iznosu od 99.544,95 EUR. Višak prihoda će se utrošiti na programske i materijalne rashode, te na održavanje i opremanje ustanove.</w:t>
      </w:r>
    </w:p>
    <w:p w:rsidR="00F8448D" w:rsidRDefault="00F8448D"/>
    <w:p w:rsidR="00F8448D" w:rsidRDefault="00DA2C9F">
      <w:pPr>
        <w:keepNext/>
        <w:spacing w:line="240" w:lineRule="auto"/>
        <w:jc w:val="center"/>
      </w:pPr>
      <w:r>
        <w:rPr>
          <w:b/>
          <w:sz w:val="28"/>
        </w:rPr>
        <w:lastRenderedPageBreak/>
        <w:t>Bilanca</w:t>
      </w:r>
    </w:p>
    <w:p w:rsidR="00F8448D" w:rsidRDefault="00DA2C9F">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0</w:t>
            </w:r>
          </w:p>
        </w:tc>
        <w:tc>
          <w:tcPr>
            <w:tcW w:w="3180" w:type="dxa"/>
            <w:tcMar>
              <w:top w:w="0" w:type="dxa"/>
              <w:bottom w:w="0" w:type="dxa"/>
            </w:tcMar>
            <w:vAlign w:val="center"/>
          </w:tcPr>
          <w:p w:rsidR="00F8448D" w:rsidRDefault="00DA2C9F">
            <w:pPr>
              <w:keepNext/>
              <w:keepLines/>
              <w:spacing w:after="0" w:line="240" w:lineRule="auto"/>
            </w:pPr>
            <w:r>
              <w:rPr>
                <w:sz w:val="18"/>
              </w:rPr>
              <w:t>Nefinancijska imovina (šifre 01+02+03+04+05+06)</w:t>
            </w:r>
          </w:p>
        </w:tc>
        <w:tc>
          <w:tcPr>
            <w:tcW w:w="700" w:type="dxa"/>
            <w:tcMar>
              <w:top w:w="0" w:type="dxa"/>
              <w:bottom w:w="0" w:type="dxa"/>
            </w:tcMar>
            <w:vAlign w:val="center"/>
          </w:tcPr>
          <w:p w:rsidR="00F8448D" w:rsidRDefault="00DA2C9F">
            <w:pPr>
              <w:keepNext/>
              <w:keepLines/>
              <w:spacing w:after="0" w:line="240" w:lineRule="auto"/>
            </w:pPr>
            <w:r>
              <w:rPr>
                <w:sz w:val="18"/>
              </w:rPr>
              <w:t>B002</w:t>
            </w:r>
          </w:p>
        </w:tc>
        <w:tc>
          <w:tcPr>
            <w:tcW w:w="1860" w:type="dxa"/>
            <w:tcMar>
              <w:top w:w="0" w:type="dxa"/>
              <w:bottom w:w="0" w:type="dxa"/>
            </w:tcMar>
            <w:vAlign w:val="center"/>
          </w:tcPr>
          <w:p w:rsidR="00F8448D" w:rsidRDefault="00DA2C9F">
            <w:pPr>
              <w:keepNext/>
              <w:keepLines/>
              <w:spacing w:after="0" w:line="240" w:lineRule="auto"/>
              <w:jc w:val="right"/>
            </w:pPr>
            <w:r>
              <w:rPr>
                <w:sz w:val="18"/>
              </w:rPr>
              <w:t>3.402.296,94</w:t>
            </w:r>
          </w:p>
        </w:tc>
        <w:tc>
          <w:tcPr>
            <w:tcW w:w="1860" w:type="dxa"/>
            <w:tcMar>
              <w:top w:w="0" w:type="dxa"/>
              <w:bottom w:w="0" w:type="dxa"/>
            </w:tcMar>
            <w:vAlign w:val="center"/>
          </w:tcPr>
          <w:p w:rsidR="00F8448D" w:rsidRDefault="00DA2C9F">
            <w:pPr>
              <w:keepNext/>
              <w:keepLines/>
              <w:spacing w:after="0" w:line="240" w:lineRule="auto"/>
              <w:jc w:val="right"/>
            </w:pPr>
            <w:r>
              <w:rPr>
                <w:sz w:val="18"/>
              </w:rPr>
              <w:t>3.335.917,22</w:t>
            </w:r>
          </w:p>
        </w:tc>
        <w:tc>
          <w:tcPr>
            <w:tcW w:w="700" w:type="dxa"/>
            <w:tcMar>
              <w:top w:w="0" w:type="dxa"/>
              <w:bottom w:w="0" w:type="dxa"/>
            </w:tcMar>
            <w:vAlign w:val="center"/>
          </w:tcPr>
          <w:p w:rsidR="00F8448D" w:rsidRDefault="00DA2C9F">
            <w:pPr>
              <w:keepNext/>
              <w:keepLines/>
              <w:spacing w:after="0" w:line="240" w:lineRule="auto"/>
              <w:jc w:val="right"/>
            </w:pPr>
            <w:r>
              <w:rPr>
                <w:sz w:val="18"/>
              </w:rPr>
              <w:t>98,0</w:t>
            </w:r>
          </w:p>
        </w:tc>
      </w:tr>
    </w:tbl>
    <w:p w:rsidR="00F8448D" w:rsidRDefault="00F8448D">
      <w:pPr>
        <w:spacing w:after="0"/>
      </w:pPr>
    </w:p>
    <w:p w:rsidR="00F8448D" w:rsidRDefault="00DA2C9F">
      <w:r>
        <w:t>Pod oznakom B002  evidentirana je dugotrajna imovina  2025. godine u  iznosu od 3.335.917,22 EUR. Smanjenje u odnosu na 01.01.2024. odnosi se na ispravak vrijednosti dugotrajne imovine.</w:t>
      </w:r>
    </w:p>
    <w:p w:rsidR="00F8448D" w:rsidRDefault="00DA2C9F">
      <w:r>
        <w:t>            </w:t>
      </w:r>
    </w:p>
    <w:p w:rsidR="00F8448D" w:rsidRDefault="00F8448D"/>
    <w:p w:rsidR="00F8448D" w:rsidRDefault="00DA2C9F">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w:t>
            </w:r>
            <w:r>
              <w:rPr>
                <w:b/>
                <w:sz w:val="18"/>
              </w:rPr>
              <w:t>e 1. siječnja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04</w:t>
            </w:r>
          </w:p>
        </w:tc>
        <w:tc>
          <w:tcPr>
            <w:tcW w:w="3180" w:type="dxa"/>
            <w:tcMar>
              <w:top w:w="0" w:type="dxa"/>
              <w:bottom w:w="0" w:type="dxa"/>
            </w:tcMar>
            <w:vAlign w:val="center"/>
          </w:tcPr>
          <w:p w:rsidR="00F8448D" w:rsidRDefault="00DA2C9F">
            <w:pPr>
              <w:keepNext/>
              <w:keepLines/>
              <w:spacing w:after="0" w:line="240" w:lineRule="auto"/>
            </w:pPr>
            <w:r>
              <w:rPr>
                <w:sz w:val="18"/>
              </w:rPr>
              <w:t>Sitni inventar i autogume (šifre 041+042-049)</w:t>
            </w:r>
          </w:p>
        </w:tc>
        <w:tc>
          <w:tcPr>
            <w:tcW w:w="700" w:type="dxa"/>
            <w:tcMar>
              <w:top w:w="0" w:type="dxa"/>
              <w:bottom w:w="0" w:type="dxa"/>
            </w:tcMar>
            <w:vAlign w:val="center"/>
          </w:tcPr>
          <w:p w:rsidR="00F8448D" w:rsidRDefault="00DA2C9F">
            <w:pPr>
              <w:keepNext/>
              <w:keepLines/>
              <w:spacing w:after="0" w:line="240" w:lineRule="auto"/>
            </w:pPr>
            <w:r>
              <w:rPr>
                <w:sz w:val="18"/>
              </w:rPr>
              <w:t>04</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1860" w:type="dxa"/>
            <w:tcMar>
              <w:top w:w="0" w:type="dxa"/>
              <w:bottom w:w="0" w:type="dxa"/>
            </w:tcMar>
            <w:vAlign w:val="center"/>
          </w:tcPr>
          <w:p w:rsidR="00F8448D" w:rsidRDefault="00DA2C9F">
            <w:pPr>
              <w:keepNext/>
              <w:keepLines/>
              <w:spacing w:after="0" w:line="240" w:lineRule="auto"/>
              <w:jc w:val="right"/>
            </w:pPr>
            <w:r>
              <w:rPr>
                <w:sz w:val="18"/>
              </w:rPr>
              <w:t>0,00</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bl>
    <w:p w:rsidR="00F8448D" w:rsidRDefault="00F8448D">
      <w:pPr>
        <w:spacing w:after="0"/>
      </w:pPr>
    </w:p>
    <w:p w:rsidR="00F8448D" w:rsidRDefault="00DA2C9F">
      <w:r>
        <w:t>Pod oznakama 042 i 049 prikazan je sitni inventar u upotrebi i ispravak vrijednosti sitnog inventara. Sitni inventar je evidentiran i u knjizi sitnog inventara.</w:t>
      </w:r>
    </w:p>
    <w:p w:rsidR="00F8448D" w:rsidRDefault="00F8448D"/>
    <w:p w:rsidR="00F8448D" w:rsidRDefault="00DA2C9F">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w:t>
            </w:r>
            <w:r>
              <w:rPr>
                <w:b/>
                <w:sz w:val="18"/>
              </w:rPr>
              <w:t>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129</w:t>
            </w:r>
          </w:p>
        </w:tc>
        <w:tc>
          <w:tcPr>
            <w:tcW w:w="3180" w:type="dxa"/>
            <w:tcMar>
              <w:top w:w="0" w:type="dxa"/>
              <w:bottom w:w="0" w:type="dxa"/>
            </w:tcMar>
            <w:vAlign w:val="center"/>
          </w:tcPr>
          <w:p w:rsidR="00F8448D" w:rsidRDefault="00DA2C9F">
            <w:pPr>
              <w:keepNext/>
              <w:keepLines/>
              <w:spacing w:after="0" w:line="240" w:lineRule="auto"/>
            </w:pPr>
            <w:r>
              <w:rPr>
                <w:sz w:val="18"/>
              </w:rPr>
              <w:t>Ostala potraživanja</w:t>
            </w:r>
          </w:p>
        </w:tc>
        <w:tc>
          <w:tcPr>
            <w:tcW w:w="700" w:type="dxa"/>
            <w:tcMar>
              <w:top w:w="0" w:type="dxa"/>
              <w:bottom w:w="0" w:type="dxa"/>
            </w:tcMar>
            <w:vAlign w:val="center"/>
          </w:tcPr>
          <w:p w:rsidR="00F8448D" w:rsidRDefault="00DA2C9F">
            <w:pPr>
              <w:keepNext/>
              <w:keepLines/>
              <w:spacing w:after="0" w:line="240" w:lineRule="auto"/>
            </w:pPr>
            <w:r>
              <w:rPr>
                <w:sz w:val="18"/>
              </w:rPr>
              <w:t>129</w:t>
            </w:r>
          </w:p>
        </w:tc>
        <w:tc>
          <w:tcPr>
            <w:tcW w:w="1860" w:type="dxa"/>
            <w:tcMar>
              <w:top w:w="0" w:type="dxa"/>
              <w:bottom w:w="0" w:type="dxa"/>
            </w:tcMar>
            <w:vAlign w:val="center"/>
          </w:tcPr>
          <w:p w:rsidR="00F8448D" w:rsidRDefault="00DA2C9F">
            <w:pPr>
              <w:keepNext/>
              <w:keepLines/>
              <w:spacing w:after="0" w:line="240" w:lineRule="auto"/>
              <w:jc w:val="right"/>
            </w:pPr>
            <w:r>
              <w:rPr>
                <w:sz w:val="18"/>
              </w:rPr>
              <w:t>5.311,56</w:t>
            </w:r>
          </w:p>
        </w:tc>
        <w:tc>
          <w:tcPr>
            <w:tcW w:w="1860" w:type="dxa"/>
            <w:tcMar>
              <w:top w:w="0" w:type="dxa"/>
              <w:bottom w:w="0" w:type="dxa"/>
            </w:tcMar>
            <w:vAlign w:val="center"/>
          </w:tcPr>
          <w:p w:rsidR="00F8448D" w:rsidRDefault="00DA2C9F">
            <w:pPr>
              <w:keepNext/>
              <w:keepLines/>
              <w:spacing w:after="0" w:line="240" w:lineRule="auto"/>
              <w:jc w:val="right"/>
            </w:pPr>
            <w:r>
              <w:rPr>
                <w:sz w:val="18"/>
              </w:rPr>
              <w:t>4.732,03</w:t>
            </w:r>
          </w:p>
        </w:tc>
        <w:tc>
          <w:tcPr>
            <w:tcW w:w="700" w:type="dxa"/>
            <w:tcMar>
              <w:top w:w="0" w:type="dxa"/>
              <w:bottom w:w="0" w:type="dxa"/>
            </w:tcMar>
            <w:vAlign w:val="center"/>
          </w:tcPr>
          <w:p w:rsidR="00F8448D" w:rsidRDefault="00DA2C9F">
            <w:pPr>
              <w:keepNext/>
              <w:keepLines/>
              <w:spacing w:after="0" w:line="240" w:lineRule="auto"/>
              <w:jc w:val="right"/>
            </w:pPr>
            <w:r>
              <w:rPr>
                <w:sz w:val="18"/>
              </w:rPr>
              <w:t>89,1</w:t>
            </w:r>
          </w:p>
        </w:tc>
      </w:tr>
    </w:tbl>
    <w:p w:rsidR="00F8448D" w:rsidRDefault="00F8448D">
      <w:pPr>
        <w:spacing w:after="0"/>
      </w:pPr>
    </w:p>
    <w:p w:rsidR="00F8448D" w:rsidRDefault="00DA2C9F">
      <w:r>
        <w:t>Pod oznakom 129 evidentirana su potraživanja od HZZO za refundaciju bolovanja, te potraživanja za plaćene predujmove za koje računi nisu pristigli u 2025. godini.       </w:t>
      </w:r>
    </w:p>
    <w:p w:rsidR="00F8448D" w:rsidRDefault="00F8448D"/>
    <w:p w:rsidR="00F8448D" w:rsidRDefault="00DA2C9F">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 xml:space="preserve">Račun iz </w:t>
            </w:r>
            <w:r>
              <w:rPr>
                <w:b/>
                <w:sz w:val="18"/>
              </w:rPr>
              <w:t>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16</w:t>
            </w:r>
          </w:p>
        </w:tc>
        <w:tc>
          <w:tcPr>
            <w:tcW w:w="3180" w:type="dxa"/>
            <w:tcMar>
              <w:top w:w="0" w:type="dxa"/>
              <w:bottom w:w="0" w:type="dxa"/>
            </w:tcMar>
            <w:vAlign w:val="center"/>
          </w:tcPr>
          <w:p w:rsidR="00F8448D" w:rsidRDefault="00DA2C9F">
            <w:pPr>
              <w:keepNext/>
              <w:keepLines/>
              <w:spacing w:after="0" w:line="240" w:lineRule="auto"/>
            </w:pPr>
            <w:r>
              <w:rPr>
                <w:sz w:val="18"/>
              </w:rPr>
              <w:t>Potraživanja za prihode poslovanja (šifre 161 do 163 + 164 do 168-169)</w:t>
            </w:r>
          </w:p>
        </w:tc>
        <w:tc>
          <w:tcPr>
            <w:tcW w:w="700" w:type="dxa"/>
            <w:tcMar>
              <w:top w:w="0" w:type="dxa"/>
              <w:bottom w:w="0" w:type="dxa"/>
            </w:tcMar>
            <w:vAlign w:val="center"/>
          </w:tcPr>
          <w:p w:rsidR="00F8448D" w:rsidRDefault="00DA2C9F">
            <w:pPr>
              <w:keepNext/>
              <w:keepLines/>
              <w:spacing w:after="0" w:line="240" w:lineRule="auto"/>
            </w:pPr>
            <w:r>
              <w:rPr>
                <w:sz w:val="18"/>
              </w:rPr>
              <w:t>16</w:t>
            </w:r>
          </w:p>
        </w:tc>
        <w:tc>
          <w:tcPr>
            <w:tcW w:w="1860" w:type="dxa"/>
            <w:tcMar>
              <w:top w:w="0" w:type="dxa"/>
              <w:bottom w:w="0" w:type="dxa"/>
            </w:tcMar>
            <w:vAlign w:val="center"/>
          </w:tcPr>
          <w:p w:rsidR="00F8448D" w:rsidRDefault="00DA2C9F">
            <w:pPr>
              <w:keepNext/>
              <w:keepLines/>
              <w:spacing w:after="0" w:line="240" w:lineRule="auto"/>
              <w:jc w:val="right"/>
            </w:pPr>
            <w:r>
              <w:rPr>
                <w:sz w:val="18"/>
              </w:rPr>
              <w:t>1.072,23</w:t>
            </w:r>
          </w:p>
        </w:tc>
        <w:tc>
          <w:tcPr>
            <w:tcW w:w="1860" w:type="dxa"/>
            <w:tcMar>
              <w:top w:w="0" w:type="dxa"/>
              <w:bottom w:w="0" w:type="dxa"/>
            </w:tcMar>
            <w:vAlign w:val="center"/>
          </w:tcPr>
          <w:p w:rsidR="00F8448D" w:rsidRDefault="00DA2C9F">
            <w:pPr>
              <w:keepNext/>
              <w:keepLines/>
              <w:spacing w:after="0" w:line="240" w:lineRule="auto"/>
              <w:jc w:val="right"/>
            </w:pPr>
            <w:r>
              <w:rPr>
                <w:sz w:val="18"/>
              </w:rPr>
              <w:t>5.003,23</w:t>
            </w:r>
          </w:p>
        </w:tc>
        <w:tc>
          <w:tcPr>
            <w:tcW w:w="700" w:type="dxa"/>
            <w:tcMar>
              <w:top w:w="0" w:type="dxa"/>
              <w:bottom w:w="0" w:type="dxa"/>
            </w:tcMar>
            <w:vAlign w:val="center"/>
          </w:tcPr>
          <w:p w:rsidR="00F8448D" w:rsidRDefault="00DA2C9F">
            <w:pPr>
              <w:keepNext/>
              <w:keepLines/>
              <w:spacing w:after="0" w:line="240" w:lineRule="auto"/>
              <w:jc w:val="right"/>
            </w:pPr>
            <w:r>
              <w:rPr>
                <w:sz w:val="18"/>
              </w:rPr>
              <w:t>466,6</w:t>
            </w:r>
          </w:p>
        </w:tc>
      </w:tr>
    </w:tbl>
    <w:p w:rsidR="00F8448D" w:rsidRDefault="00F8448D">
      <w:pPr>
        <w:spacing w:after="0"/>
      </w:pPr>
    </w:p>
    <w:p w:rsidR="00F8448D" w:rsidRDefault="00DA2C9F">
      <w:r>
        <w:t>Oznaka 16 prikazuje potraživanja na dan 31. prosinca 2025. godine u iznosu od 5.003,23 EUR, te se odnose se na potraživanja za prodaju ulaznica i najam prostora.</w:t>
      </w:r>
    </w:p>
    <w:p w:rsidR="00F8448D" w:rsidRDefault="00F8448D"/>
    <w:p w:rsidR="00F8448D" w:rsidRDefault="00DA2C9F">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w:t>
            </w:r>
            <w:r>
              <w:rPr>
                <w:b/>
                <w:sz w:val="18"/>
              </w:rPr>
              <w:t>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2</w:t>
            </w:r>
          </w:p>
        </w:tc>
        <w:tc>
          <w:tcPr>
            <w:tcW w:w="3180" w:type="dxa"/>
            <w:tcMar>
              <w:top w:w="0" w:type="dxa"/>
              <w:bottom w:w="0" w:type="dxa"/>
            </w:tcMar>
            <w:vAlign w:val="center"/>
          </w:tcPr>
          <w:p w:rsidR="00F8448D" w:rsidRDefault="00DA2C9F">
            <w:pPr>
              <w:keepNext/>
              <w:keepLines/>
              <w:spacing w:after="0" w:line="240" w:lineRule="auto"/>
            </w:pPr>
            <w:r>
              <w:rPr>
                <w:sz w:val="18"/>
              </w:rPr>
              <w:t>Obveze (šifre 23+24+25+26+27+29)</w:t>
            </w:r>
          </w:p>
        </w:tc>
        <w:tc>
          <w:tcPr>
            <w:tcW w:w="700" w:type="dxa"/>
            <w:tcMar>
              <w:top w:w="0" w:type="dxa"/>
              <w:bottom w:w="0" w:type="dxa"/>
            </w:tcMar>
            <w:vAlign w:val="center"/>
          </w:tcPr>
          <w:p w:rsidR="00F8448D" w:rsidRDefault="00DA2C9F">
            <w:pPr>
              <w:keepNext/>
              <w:keepLines/>
              <w:spacing w:after="0" w:line="240" w:lineRule="auto"/>
            </w:pPr>
            <w:r>
              <w:rPr>
                <w:sz w:val="18"/>
              </w:rPr>
              <w:t>2</w:t>
            </w:r>
          </w:p>
        </w:tc>
        <w:tc>
          <w:tcPr>
            <w:tcW w:w="1860" w:type="dxa"/>
            <w:tcMar>
              <w:top w:w="0" w:type="dxa"/>
              <w:bottom w:w="0" w:type="dxa"/>
            </w:tcMar>
            <w:vAlign w:val="center"/>
          </w:tcPr>
          <w:p w:rsidR="00F8448D" w:rsidRDefault="00DA2C9F">
            <w:pPr>
              <w:keepNext/>
              <w:keepLines/>
              <w:spacing w:after="0" w:line="240" w:lineRule="auto"/>
              <w:jc w:val="right"/>
            </w:pPr>
            <w:r>
              <w:rPr>
                <w:sz w:val="18"/>
              </w:rPr>
              <w:t>227.061,68</w:t>
            </w:r>
          </w:p>
        </w:tc>
        <w:tc>
          <w:tcPr>
            <w:tcW w:w="1860" w:type="dxa"/>
            <w:tcMar>
              <w:top w:w="0" w:type="dxa"/>
              <w:bottom w:w="0" w:type="dxa"/>
            </w:tcMar>
            <w:vAlign w:val="center"/>
          </w:tcPr>
          <w:p w:rsidR="00F8448D" w:rsidRDefault="00DA2C9F">
            <w:pPr>
              <w:keepNext/>
              <w:keepLines/>
              <w:spacing w:after="0" w:line="240" w:lineRule="auto"/>
              <w:jc w:val="right"/>
            </w:pPr>
            <w:r>
              <w:rPr>
                <w:sz w:val="18"/>
              </w:rPr>
              <w:t>269.945,19</w:t>
            </w:r>
          </w:p>
        </w:tc>
        <w:tc>
          <w:tcPr>
            <w:tcW w:w="700" w:type="dxa"/>
            <w:tcMar>
              <w:top w:w="0" w:type="dxa"/>
              <w:bottom w:w="0" w:type="dxa"/>
            </w:tcMar>
            <w:vAlign w:val="center"/>
          </w:tcPr>
          <w:p w:rsidR="00F8448D" w:rsidRDefault="00DA2C9F">
            <w:pPr>
              <w:keepNext/>
              <w:keepLines/>
              <w:spacing w:after="0" w:line="240" w:lineRule="auto"/>
              <w:jc w:val="right"/>
            </w:pPr>
            <w:r>
              <w:rPr>
                <w:sz w:val="18"/>
              </w:rPr>
              <w:t>118,9</w:t>
            </w:r>
          </w:p>
        </w:tc>
      </w:tr>
    </w:tbl>
    <w:p w:rsidR="00F8448D" w:rsidRDefault="00F8448D">
      <w:pPr>
        <w:spacing w:after="0"/>
      </w:pPr>
    </w:p>
    <w:p w:rsidR="00F8448D" w:rsidRDefault="00DA2C9F">
      <w:r>
        <w:t>Oznaka 2 prikazuje ukupne nepodmirene obveze i to za zaposlene (plaća za prosinac) i obveze za nepodmirene račune od dobavljača.</w:t>
      </w:r>
    </w:p>
    <w:p w:rsidR="00F8448D" w:rsidRDefault="00F8448D"/>
    <w:p w:rsidR="00F8448D" w:rsidRDefault="00DA2C9F">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9221</w:t>
            </w:r>
          </w:p>
        </w:tc>
        <w:tc>
          <w:tcPr>
            <w:tcW w:w="3180" w:type="dxa"/>
            <w:tcMar>
              <w:top w:w="0" w:type="dxa"/>
              <w:bottom w:w="0" w:type="dxa"/>
            </w:tcMar>
            <w:vAlign w:val="center"/>
          </w:tcPr>
          <w:p w:rsidR="00F8448D" w:rsidRDefault="00DA2C9F">
            <w:pPr>
              <w:keepNext/>
              <w:keepLines/>
              <w:spacing w:after="0" w:line="240" w:lineRule="auto"/>
            </w:pPr>
            <w:r>
              <w:rPr>
                <w:sz w:val="18"/>
              </w:rPr>
              <w:t>Višak prihoda i primitaka (šifre 92211 do 92213)</w:t>
            </w:r>
          </w:p>
        </w:tc>
        <w:tc>
          <w:tcPr>
            <w:tcW w:w="700" w:type="dxa"/>
            <w:tcMar>
              <w:top w:w="0" w:type="dxa"/>
              <w:bottom w:w="0" w:type="dxa"/>
            </w:tcMar>
            <w:vAlign w:val="center"/>
          </w:tcPr>
          <w:p w:rsidR="00F8448D" w:rsidRDefault="00DA2C9F">
            <w:pPr>
              <w:keepNext/>
              <w:keepLines/>
              <w:spacing w:after="0" w:line="240" w:lineRule="auto"/>
            </w:pPr>
            <w:r>
              <w:rPr>
                <w:sz w:val="18"/>
              </w:rPr>
              <w:t>9221</w:t>
            </w:r>
          </w:p>
        </w:tc>
        <w:tc>
          <w:tcPr>
            <w:tcW w:w="1860" w:type="dxa"/>
            <w:tcMar>
              <w:top w:w="0" w:type="dxa"/>
              <w:bottom w:w="0" w:type="dxa"/>
            </w:tcMar>
            <w:vAlign w:val="center"/>
          </w:tcPr>
          <w:p w:rsidR="00F8448D" w:rsidRDefault="00DA2C9F">
            <w:pPr>
              <w:keepNext/>
              <w:keepLines/>
              <w:spacing w:after="0" w:line="240" w:lineRule="auto"/>
              <w:jc w:val="right"/>
            </w:pPr>
            <w:r>
              <w:rPr>
                <w:sz w:val="18"/>
              </w:rPr>
              <w:t>48.774,82</w:t>
            </w:r>
          </w:p>
        </w:tc>
        <w:tc>
          <w:tcPr>
            <w:tcW w:w="1860" w:type="dxa"/>
            <w:tcMar>
              <w:top w:w="0" w:type="dxa"/>
              <w:bottom w:w="0" w:type="dxa"/>
            </w:tcMar>
            <w:vAlign w:val="center"/>
          </w:tcPr>
          <w:p w:rsidR="00F8448D" w:rsidRDefault="00DA2C9F">
            <w:pPr>
              <w:keepNext/>
              <w:keepLines/>
              <w:spacing w:after="0" w:line="240" w:lineRule="auto"/>
              <w:jc w:val="right"/>
            </w:pPr>
            <w:r>
              <w:rPr>
                <w:sz w:val="18"/>
              </w:rPr>
              <w:t>99.544,95</w:t>
            </w:r>
          </w:p>
        </w:tc>
        <w:tc>
          <w:tcPr>
            <w:tcW w:w="700" w:type="dxa"/>
            <w:tcMar>
              <w:top w:w="0" w:type="dxa"/>
              <w:bottom w:w="0" w:type="dxa"/>
            </w:tcMar>
            <w:vAlign w:val="center"/>
          </w:tcPr>
          <w:p w:rsidR="00F8448D" w:rsidRDefault="00DA2C9F">
            <w:pPr>
              <w:keepNext/>
              <w:keepLines/>
              <w:spacing w:after="0" w:line="240" w:lineRule="auto"/>
              <w:jc w:val="right"/>
            </w:pPr>
            <w:r>
              <w:rPr>
                <w:sz w:val="18"/>
              </w:rPr>
              <w:t>204,1</w:t>
            </w:r>
          </w:p>
        </w:tc>
      </w:tr>
    </w:tbl>
    <w:p w:rsidR="00F8448D" w:rsidRDefault="00F8448D">
      <w:pPr>
        <w:spacing w:after="0"/>
      </w:pPr>
    </w:p>
    <w:p w:rsidR="00F8448D" w:rsidRDefault="00DA2C9F">
      <w:r>
        <w:t>Pod oznakom 9221 prikazan je ukupan višak prihoda u iznosu od 99.544,95 EUR. Višak prihoda će se utrošiti na programske i materijalne rashode, te na nabavu nefinancijske imovine.</w:t>
      </w:r>
    </w:p>
    <w:p w:rsidR="00F8448D" w:rsidRDefault="00DA2C9F">
      <w:r>
        <w:t>            </w:t>
      </w:r>
    </w:p>
    <w:p w:rsidR="00F8448D" w:rsidRDefault="00F8448D"/>
    <w:p w:rsidR="00F8448D" w:rsidRDefault="00DA2C9F">
      <w:pPr>
        <w:keepNext/>
        <w:spacing w:line="240" w:lineRule="auto"/>
        <w:jc w:val="center"/>
      </w:pPr>
      <w:r>
        <w:rPr>
          <w:b/>
          <w:sz w:val="28"/>
        </w:rPr>
        <w:t>Izvještaj o rashodima prema funkcijskoj klasifikaciji</w:t>
      </w:r>
    </w:p>
    <w:p w:rsidR="00F8448D" w:rsidRDefault="00DA2C9F">
      <w:pPr>
        <w:keepNext/>
        <w:spacing w:line="240" w:lineRule="auto"/>
        <w:jc w:val="center"/>
      </w:pPr>
      <w:r>
        <w:rPr>
          <w:sz w:val="28"/>
        </w:rPr>
        <w:t xml:space="preserve">Bilješka </w:t>
      </w:r>
      <w:r>
        <w:rPr>
          <w:sz w:val="28"/>
        </w:rPr>
        <w:t>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DA2C9F">
            <w:pPr>
              <w:keepNext/>
              <w:keepLines/>
              <w:spacing w:after="0" w:line="240" w:lineRule="auto"/>
            </w:pPr>
            <w:r>
              <w:rPr>
                <w:sz w:val="18"/>
              </w:rPr>
              <w:t>082</w:t>
            </w:r>
          </w:p>
        </w:tc>
        <w:tc>
          <w:tcPr>
            <w:tcW w:w="3180" w:type="dxa"/>
            <w:tcMar>
              <w:top w:w="0" w:type="dxa"/>
              <w:bottom w:w="0" w:type="dxa"/>
            </w:tcMar>
            <w:vAlign w:val="center"/>
          </w:tcPr>
          <w:p w:rsidR="00F8448D" w:rsidRDefault="00DA2C9F">
            <w:pPr>
              <w:keepNext/>
              <w:keepLines/>
              <w:spacing w:after="0" w:line="240" w:lineRule="auto"/>
            </w:pPr>
            <w:r>
              <w:rPr>
                <w:sz w:val="18"/>
              </w:rPr>
              <w:t>Službe kulture</w:t>
            </w:r>
          </w:p>
        </w:tc>
        <w:tc>
          <w:tcPr>
            <w:tcW w:w="700" w:type="dxa"/>
            <w:tcMar>
              <w:top w:w="0" w:type="dxa"/>
              <w:bottom w:w="0" w:type="dxa"/>
            </w:tcMar>
            <w:vAlign w:val="center"/>
          </w:tcPr>
          <w:p w:rsidR="00F8448D" w:rsidRDefault="00DA2C9F">
            <w:pPr>
              <w:keepNext/>
              <w:keepLines/>
              <w:spacing w:after="0" w:line="240" w:lineRule="auto"/>
            </w:pPr>
            <w:r>
              <w:rPr>
                <w:sz w:val="18"/>
              </w:rPr>
              <w:t>082</w:t>
            </w:r>
          </w:p>
        </w:tc>
        <w:tc>
          <w:tcPr>
            <w:tcW w:w="1860" w:type="dxa"/>
            <w:tcMar>
              <w:top w:w="0" w:type="dxa"/>
              <w:bottom w:w="0" w:type="dxa"/>
            </w:tcMar>
            <w:vAlign w:val="center"/>
          </w:tcPr>
          <w:p w:rsidR="00F8448D" w:rsidRDefault="00DA2C9F">
            <w:pPr>
              <w:keepNext/>
              <w:keepLines/>
              <w:spacing w:after="0" w:line="240" w:lineRule="auto"/>
              <w:jc w:val="right"/>
            </w:pPr>
            <w:r>
              <w:rPr>
                <w:sz w:val="18"/>
              </w:rPr>
              <w:t>2.818.365,66</w:t>
            </w:r>
          </w:p>
        </w:tc>
        <w:tc>
          <w:tcPr>
            <w:tcW w:w="1860" w:type="dxa"/>
            <w:tcMar>
              <w:top w:w="0" w:type="dxa"/>
              <w:bottom w:w="0" w:type="dxa"/>
            </w:tcMar>
            <w:vAlign w:val="center"/>
          </w:tcPr>
          <w:p w:rsidR="00F8448D" w:rsidRDefault="00DA2C9F">
            <w:pPr>
              <w:keepNext/>
              <w:keepLines/>
              <w:spacing w:after="0" w:line="240" w:lineRule="auto"/>
              <w:jc w:val="right"/>
            </w:pPr>
            <w:r>
              <w:rPr>
                <w:sz w:val="18"/>
              </w:rPr>
              <w:t>3.341.086,63</w:t>
            </w:r>
          </w:p>
        </w:tc>
        <w:tc>
          <w:tcPr>
            <w:tcW w:w="700" w:type="dxa"/>
            <w:tcMar>
              <w:top w:w="0" w:type="dxa"/>
              <w:bottom w:w="0" w:type="dxa"/>
            </w:tcMar>
            <w:vAlign w:val="center"/>
          </w:tcPr>
          <w:p w:rsidR="00F8448D" w:rsidRDefault="00DA2C9F">
            <w:pPr>
              <w:keepNext/>
              <w:keepLines/>
              <w:spacing w:after="0" w:line="240" w:lineRule="auto"/>
              <w:jc w:val="right"/>
            </w:pPr>
            <w:r>
              <w:rPr>
                <w:sz w:val="18"/>
              </w:rPr>
              <w:t>118,5</w:t>
            </w:r>
          </w:p>
        </w:tc>
      </w:tr>
    </w:tbl>
    <w:p w:rsidR="00F8448D" w:rsidRDefault="00F8448D">
      <w:pPr>
        <w:spacing w:after="0"/>
      </w:pPr>
    </w:p>
    <w:p w:rsidR="00F8448D" w:rsidRDefault="00DA2C9F">
      <w:r>
        <w:t>Pod oznakom 082 prikazani su rashodi za službe kulture što odgovara ukupnim rashodima.</w:t>
      </w:r>
    </w:p>
    <w:p w:rsidR="00F8448D" w:rsidRDefault="00F8448D"/>
    <w:p w:rsidR="00F8448D" w:rsidRDefault="00DA2C9F">
      <w:pPr>
        <w:keepNext/>
        <w:spacing w:line="240" w:lineRule="auto"/>
        <w:jc w:val="center"/>
      </w:pPr>
      <w:r>
        <w:rPr>
          <w:b/>
          <w:sz w:val="28"/>
        </w:rPr>
        <w:t>Izvještaj o obvezama</w:t>
      </w:r>
    </w:p>
    <w:p w:rsidR="00F8448D" w:rsidRDefault="00DA2C9F">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sz w:val="18"/>
              </w:rPr>
              <w:t>Stanje obveza na kraju izvještajnog razdoblja (šifre V001+V002-V004) i (šifre</w:t>
            </w:r>
            <w:r>
              <w:rPr>
                <w:sz w:val="18"/>
              </w:rPr>
              <w:t xml:space="preserve"> V007+V009)</w:t>
            </w:r>
          </w:p>
        </w:tc>
        <w:tc>
          <w:tcPr>
            <w:tcW w:w="700" w:type="dxa"/>
            <w:tcMar>
              <w:top w:w="0" w:type="dxa"/>
              <w:bottom w:w="0" w:type="dxa"/>
            </w:tcMar>
            <w:vAlign w:val="center"/>
          </w:tcPr>
          <w:p w:rsidR="00F8448D" w:rsidRDefault="00DA2C9F">
            <w:pPr>
              <w:keepNext/>
              <w:keepLines/>
              <w:spacing w:after="0" w:line="240" w:lineRule="auto"/>
            </w:pPr>
            <w:r>
              <w:rPr>
                <w:sz w:val="18"/>
              </w:rPr>
              <w:t>V006</w:t>
            </w:r>
          </w:p>
        </w:tc>
        <w:tc>
          <w:tcPr>
            <w:tcW w:w="1860" w:type="dxa"/>
            <w:tcMar>
              <w:top w:w="0" w:type="dxa"/>
              <w:bottom w:w="0" w:type="dxa"/>
            </w:tcMar>
            <w:vAlign w:val="center"/>
          </w:tcPr>
          <w:p w:rsidR="00F8448D" w:rsidRDefault="00DA2C9F">
            <w:pPr>
              <w:keepNext/>
              <w:keepLines/>
              <w:spacing w:after="0" w:line="240" w:lineRule="auto"/>
              <w:jc w:val="right"/>
            </w:pPr>
            <w:r>
              <w:rPr>
                <w:sz w:val="18"/>
              </w:rPr>
              <w:t>269.945,19</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bl>
    <w:p w:rsidR="00F8448D" w:rsidRDefault="00F8448D">
      <w:pPr>
        <w:spacing w:after="0"/>
      </w:pPr>
    </w:p>
    <w:p w:rsidR="00F8448D" w:rsidRDefault="00DA2C9F">
      <w:r>
        <w:lastRenderedPageBreak/>
        <w:t>Obrazac Obveze prikazuje obveze ZKL-a u periodu od 01.01. do 31.12.2025. godine. Pod šifrom V006 prikazane su nepodmirene obveze za zaposlene (plaća za prosinac) i obveze za nepodmirene račune od dobavljača u ukupnom iznosu 269.945,19 EUR.  </w:t>
      </w:r>
    </w:p>
    <w:p w:rsidR="00F8448D" w:rsidRDefault="00F8448D"/>
    <w:p w:rsidR="00F8448D" w:rsidRDefault="00DA2C9F">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F8448D" w:rsidRDefault="00DA2C9F">
            <w:pPr>
              <w:keepNext/>
              <w:keepLines/>
              <w:spacing w:after="0" w:line="240" w:lineRule="auto"/>
            </w:pPr>
            <w:r>
              <w:rPr>
                <w:sz w:val="18"/>
              </w:rPr>
              <w:t>V007</w:t>
            </w:r>
          </w:p>
        </w:tc>
        <w:tc>
          <w:tcPr>
            <w:tcW w:w="1860" w:type="dxa"/>
            <w:tcMar>
              <w:top w:w="0" w:type="dxa"/>
              <w:bottom w:w="0" w:type="dxa"/>
            </w:tcMar>
            <w:vAlign w:val="center"/>
          </w:tcPr>
          <w:p w:rsidR="00F8448D" w:rsidRDefault="00DA2C9F">
            <w:pPr>
              <w:keepNext/>
              <w:keepLines/>
              <w:spacing w:after="0" w:line="240" w:lineRule="auto"/>
              <w:jc w:val="right"/>
            </w:pPr>
            <w:r>
              <w:rPr>
                <w:sz w:val="18"/>
              </w:rPr>
              <w:t>7.650,05</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bl>
    <w:p w:rsidR="00F8448D" w:rsidRDefault="00F8448D">
      <w:pPr>
        <w:spacing w:after="0"/>
      </w:pPr>
    </w:p>
    <w:p w:rsidR="00F8448D" w:rsidRDefault="00DA2C9F">
      <w:r>
        <w:t>Pod šifrom V007 prikazano je stanje dospjelih obveza na kraju izvještajnog razdoblja u iznosu od 7.650,05 EUR. Ovdje su prikazane dospjele obveze za rashode poslovanja. Obveze se odnose za materijalne rashode za koje nisu doznačena sredstva iz proračuna. I</w:t>
      </w:r>
      <w:r>
        <w:t>ste su podmirene u siječnju 2026. godine.</w:t>
      </w:r>
    </w:p>
    <w:p w:rsidR="00F8448D" w:rsidRDefault="00F8448D"/>
    <w:p w:rsidR="00F8448D" w:rsidRDefault="00DA2C9F">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F8448D">
        <w:tblPrEx>
          <w:tblCellMar>
            <w:top w:w="0" w:type="dxa"/>
            <w:bottom w:w="0" w:type="dxa"/>
          </w:tblCellMar>
        </w:tblPrEx>
        <w:trPr>
          <w:cantSplit/>
        </w:trPr>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F8448D" w:rsidRDefault="00DA2C9F">
            <w:pPr>
              <w:keepNext/>
              <w:keepLines/>
              <w:spacing w:after="0" w:line="240" w:lineRule="auto"/>
              <w:jc w:val="center"/>
            </w:pPr>
            <w:r>
              <w:rPr>
                <w:b/>
                <w:sz w:val="18"/>
              </w:rPr>
              <w:t>Indeks (%)</w:t>
            </w:r>
          </w:p>
        </w:tc>
      </w:tr>
      <w:tr w:rsidR="00F8448D">
        <w:tblPrEx>
          <w:tblCellMar>
            <w:top w:w="0" w:type="dxa"/>
            <w:bottom w:w="0" w:type="dxa"/>
          </w:tblCellMar>
        </w:tblPrEx>
        <w:trPr>
          <w:cantSplit/>
          <w:trHeight w:val="560"/>
        </w:trPr>
        <w:tc>
          <w:tcPr>
            <w:tcW w:w="700" w:type="dxa"/>
            <w:tcMar>
              <w:top w:w="0" w:type="dxa"/>
              <w:bottom w:w="0" w:type="dxa"/>
            </w:tcMar>
            <w:vAlign w:val="center"/>
          </w:tcPr>
          <w:p w:rsidR="00F8448D" w:rsidRDefault="00F8448D">
            <w:pPr>
              <w:keepNext/>
              <w:keepLines/>
              <w:spacing w:after="0" w:line="240" w:lineRule="auto"/>
            </w:pPr>
          </w:p>
        </w:tc>
        <w:tc>
          <w:tcPr>
            <w:tcW w:w="3180" w:type="dxa"/>
            <w:tcMar>
              <w:top w:w="0" w:type="dxa"/>
              <w:bottom w:w="0" w:type="dxa"/>
            </w:tcMar>
            <w:vAlign w:val="center"/>
          </w:tcPr>
          <w:p w:rsidR="00F8448D" w:rsidRDefault="00DA2C9F">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rsidR="00F8448D" w:rsidRDefault="00DA2C9F">
            <w:pPr>
              <w:keepNext/>
              <w:keepLines/>
              <w:spacing w:after="0" w:line="240" w:lineRule="auto"/>
            </w:pPr>
            <w:r>
              <w:rPr>
                <w:sz w:val="18"/>
              </w:rPr>
              <w:t>V009</w:t>
            </w:r>
          </w:p>
        </w:tc>
        <w:tc>
          <w:tcPr>
            <w:tcW w:w="1860" w:type="dxa"/>
            <w:tcMar>
              <w:top w:w="0" w:type="dxa"/>
              <w:bottom w:w="0" w:type="dxa"/>
            </w:tcMar>
            <w:vAlign w:val="center"/>
          </w:tcPr>
          <w:p w:rsidR="00F8448D" w:rsidRDefault="00DA2C9F">
            <w:pPr>
              <w:keepNext/>
              <w:keepLines/>
              <w:spacing w:after="0" w:line="240" w:lineRule="auto"/>
              <w:jc w:val="right"/>
            </w:pPr>
            <w:r>
              <w:rPr>
                <w:sz w:val="18"/>
              </w:rPr>
              <w:t>262.295,14</w:t>
            </w:r>
          </w:p>
        </w:tc>
        <w:tc>
          <w:tcPr>
            <w:tcW w:w="700" w:type="dxa"/>
            <w:tcMar>
              <w:top w:w="0" w:type="dxa"/>
              <w:bottom w:w="0" w:type="dxa"/>
            </w:tcMar>
            <w:vAlign w:val="center"/>
          </w:tcPr>
          <w:p w:rsidR="00F8448D" w:rsidRDefault="00DA2C9F">
            <w:pPr>
              <w:keepNext/>
              <w:keepLines/>
              <w:spacing w:after="0" w:line="240" w:lineRule="auto"/>
              <w:jc w:val="right"/>
            </w:pPr>
            <w:r>
              <w:rPr>
                <w:sz w:val="18"/>
              </w:rPr>
              <w:t>-</w:t>
            </w:r>
          </w:p>
        </w:tc>
      </w:tr>
    </w:tbl>
    <w:p w:rsidR="00F8448D" w:rsidRDefault="00F8448D">
      <w:pPr>
        <w:spacing w:after="0"/>
      </w:pPr>
    </w:p>
    <w:p w:rsidR="00F8448D" w:rsidRDefault="00DA2C9F">
      <w:r>
        <w:t>Šifrom V009 evidentirano je stanje nedospjelih obveza na kraju izvještajnog razdoblja u iznosu od 262.295,14 EUR. To su računi za materijalne rashode i obveze za zaposlene (plaća za prosinac).       </w:t>
      </w:r>
    </w:p>
    <w:p w:rsidR="00F8448D" w:rsidRDefault="00F8448D"/>
    <w:sectPr w:rsidR="00F844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48D"/>
    <w:rsid w:val="00DA2C9F"/>
    <w:rsid w:val="00F844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01A9C6-1C10-429C-A848-9B37FD23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2223</Words>
  <Characters>12673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dcterms:created xsi:type="dcterms:W3CDTF">2026-01-27T14:32:00Z</dcterms:created>
  <dcterms:modified xsi:type="dcterms:W3CDTF">2026-01-27T14:32:00Z</dcterms:modified>
</cp:coreProperties>
</file>